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7"/>
        <w:tblW w:w="98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854" w:type="dxa"/>
            <w:tcBorders>
              <w:top w:val="nil"/>
              <w:left w:val="nil"/>
              <w:bottom w:val="nil"/>
              <w:right w:val="nil"/>
            </w:tcBorders>
          </w:tcPr>
          <w:p>
            <w:pPr>
              <w:pStyle w:val="29"/>
              <w:framePr w:vAnchor="page" w:hAnchor="margin" w:y="538"/>
              <w:rPr>
                <w:rFonts w:hint="default" w:ascii="黑体" w:hAnsi="黑体" w:eastAsia="黑体" w:cs="黑体"/>
                <w:highlight w:val="none"/>
                <w:lang w:val="en-US" w:eastAsia="zh-CN"/>
              </w:rPr>
            </w:pPr>
            <w:r>
              <w:rPr>
                <w:rFonts w:ascii="Times New Roman"/>
                <w:highlight w:val="none"/>
              </w:rPr>
              <mc:AlternateContent>
                <mc:Choice Requires="wps">
                  <w:drawing>
                    <wp:anchor distT="0" distB="0" distL="114300" distR="114300" simplePos="0" relativeHeight="251661312" behindDoc="1" locked="0" layoutInCell="1" allowOverlap="1">
                      <wp:simplePos x="0" y="0"/>
                      <wp:positionH relativeFrom="column">
                        <wp:posOffset>-66675</wp:posOffset>
                      </wp:positionH>
                      <wp:positionV relativeFrom="paragraph">
                        <wp:posOffset>0</wp:posOffset>
                      </wp:positionV>
                      <wp:extent cx="866775" cy="198120"/>
                      <wp:effectExtent l="0" t="0" r="9525" b="11430"/>
                      <wp:wrapNone/>
                      <wp:docPr id="6" name="矩形 6"/>
                      <wp:cNvGraphicFramePr/>
                      <a:graphic xmlns:a="http://schemas.openxmlformats.org/drawingml/2006/main">
                        <a:graphicData uri="http://schemas.microsoft.com/office/word/2010/wordprocessingShape">
                          <wps:wsp>
                            <wps:cNvSpPr/>
                            <wps:spPr>
                              <a:xfrm>
                                <a:off x="0" y="0"/>
                                <a:ext cx="866775" cy="198120"/>
                              </a:xfrm>
                              <a:prstGeom prst="rect">
                                <a:avLst/>
                              </a:prstGeom>
                              <a:solidFill>
                                <a:srgbClr val="FFFFFF"/>
                              </a:solidFill>
                              <a:ln w="9525">
                                <a:noFill/>
                              </a:ln>
                              <a:effectLst/>
                            </wps:spPr>
                            <wps:txbx>
                              <w:txbxContent>
                                <w:p>
                                  <w:pPr>
                                    <w:jc w:val="center"/>
                                  </w:pPr>
                                </w:p>
                              </w:txbxContent>
                            </wps:txbx>
                            <wps:bodyPr upright="1"/>
                          </wps:wsp>
                        </a:graphicData>
                      </a:graphic>
                    </wp:anchor>
                  </w:drawing>
                </mc:Choice>
                <mc:Fallback>
                  <w:pict>
                    <v:rect id="_x0000_s1026" o:spid="_x0000_s1026" o:spt="1" style="position:absolute;left:0pt;margin-left:-5.25pt;margin-top:0pt;height:15.6pt;width:68.25pt;z-index:-251655168;mso-width-relative:page;mso-height-relative:page;" fillcolor="#FFFFFF" filled="t" stroked="f" coordsize="21600,21600" o:gfxdata="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Iri/s1QAAAAcBAAAPAAAAAAAAAAEAIAAAACIAAABkcnMvZG93bnJldi54&#10;bWxQSwECFAAUAAAACACHTuJANmA8LcQBAACAAwAADgAAAAAAAAABACAAAAAkAQAAZHJzL2Uyb0Rv&#10;Yy54bWxQSwUGAAAAAAYABgBZAQAAWgUAAAAA&#10;">
                      <v:fill on="t" focussize="0,0"/>
                      <v:stroke on="f"/>
                      <v:imagedata o:title=""/>
                      <o:lock v:ext="edit" aspectratio="f"/>
                      <v:textbox>
                        <w:txbxContent>
                          <w:p>
                            <w:pPr>
                              <w:jc w:val="center"/>
                            </w:pPr>
                          </w:p>
                        </w:txbxContent>
                      </v:textbox>
                    </v:rect>
                  </w:pict>
                </mc:Fallback>
              </mc:AlternateContent>
            </w:r>
            <w:r>
              <w:rPr>
                <w:rFonts w:ascii="Times New Roman"/>
                <w:highlight w:val="none"/>
              </w:rPr>
              <w:t>ICS</w:t>
            </w:r>
            <w:r>
              <w:rPr>
                <w:rFonts w:hint="eastAsia" w:ascii="Times New Roman"/>
                <w:highlight w:val="none"/>
                <w:lang w:val="en-US" w:eastAsia="zh-CN"/>
              </w:rPr>
              <w:t xml:space="preserve"> </w:t>
            </w:r>
            <w:r>
              <w:rPr>
                <w:rFonts w:hint="eastAsia" w:ascii="黑体" w:hAnsi="黑体" w:eastAsia="黑体" w:cs="黑体"/>
                <w:highlight w:val="none"/>
                <w:lang w:val="en-US" w:eastAsia="zh-CN"/>
              </w:rPr>
              <w:t>35.240.60</w:t>
            </w:r>
          </w:p>
          <w:p>
            <w:pPr>
              <w:pStyle w:val="29"/>
              <w:framePr w:vAnchor="page" w:hAnchor="margin" w:y="538"/>
              <w:rPr>
                <w:rFonts w:hint="default" w:eastAsia="黑体"/>
                <w:highlight w:val="none"/>
                <w:lang w:val="en-US" w:eastAsia="zh-CN"/>
              </w:rPr>
            </w:pPr>
            <w:r>
              <w:rPr>
                <w:rFonts w:hint="eastAsia" w:ascii="Times New Roman"/>
                <w:highlight w:val="none"/>
                <w:lang w:val="en-US" w:eastAsia="zh-CN"/>
              </w:rPr>
              <w:t>CCS</w:t>
            </w:r>
            <w:r>
              <w:rPr>
                <w:rFonts w:hint="eastAsia"/>
                <w:highlight w:val="none"/>
                <w:lang w:val="en-US" w:eastAsia="zh-CN"/>
              </w:rPr>
              <w:t xml:space="preserve"> A10</w:t>
            </w:r>
          </w:p>
        </w:tc>
      </w:tr>
    </w:tbl>
    <w:p>
      <w:pPr>
        <w:pStyle w:val="30"/>
        <w:rPr>
          <w:highlight w:val="none"/>
        </w:rPr>
      </w:pPr>
      <w:r>
        <w:rPr>
          <w:rFonts w:hint="eastAsia"/>
          <w:highlight w:val="none"/>
        </w:rPr>
        <w:t>DB33</w:t>
      </w:r>
    </w:p>
    <w:p>
      <w:pPr>
        <w:pStyle w:val="32"/>
        <w:rPr>
          <w:highlight w:val="none"/>
        </w:rPr>
      </w:pPr>
      <w:r>
        <w:rPr>
          <w:rFonts w:hint="eastAsia"/>
          <w:highlight w:val="none"/>
        </w:rPr>
        <w:t>浙江省地方标准</w:t>
      </w:r>
    </w:p>
    <w:p>
      <w:pPr>
        <w:pStyle w:val="33"/>
        <w:rPr>
          <w:rFonts w:hAnsi="黑体" w:cs="黑体"/>
          <w:highlight w:val="none"/>
        </w:rPr>
      </w:pPr>
      <w:r>
        <w:rPr>
          <w:rFonts w:hint="eastAsia" w:hAnsi="黑体" w:cs="黑体"/>
          <w:highlight w:val="none"/>
        </w:rPr>
        <w:t>DB33/T</w:t>
      </w:r>
      <w:r>
        <w:rPr>
          <w:rFonts w:hint="eastAsia" w:hAnsi="黑体" w:cs="黑体"/>
          <w:highlight w:val="none"/>
          <w:lang w:val="en-US" w:eastAsia="zh-CN"/>
        </w:rPr>
        <w:t xml:space="preserve"> </w:t>
      </w:r>
      <w:r>
        <w:rPr>
          <w:rFonts w:hint="eastAsia" w:hAnsi="黑体" w:cs="黑体"/>
          <w:highlight w:val="none"/>
        </w:rPr>
        <w:t>XXXX—20XX</w:t>
      </w:r>
    </w:p>
    <w:tbl>
      <w:tblPr>
        <w:tblStyle w:val="17"/>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356" w:type="dxa"/>
            <w:tcBorders>
              <w:top w:val="nil"/>
              <w:left w:val="nil"/>
              <w:bottom w:val="nil"/>
              <w:right w:val="nil"/>
            </w:tcBorders>
          </w:tcPr>
          <w:p>
            <w:pPr>
              <w:pStyle w:val="34"/>
              <w:rPr>
                <w:highlight w:val="none"/>
              </w:rPr>
            </w:pPr>
          </w:p>
        </w:tc>
      </w:tr>
    </w:tbl>
    <w:p>
      <w:pPr>
        <w:pStyle w:val="33"/>
        <w:rPr>
          <w:rFonts w:hAnsi="黑体"/>
          <w:highlight w:val="none"/>
        </w:rPr>
      </w:pPr>
    </w:p>
    <w:p>
      <w:pPr>
        <w:pStyle w:val="33"/>
        <w:rPr>
          <w:rFonts w:hAnsi="黑体"/>
          <w:highlight w:val="none"/>
        </w:rPr>
      </w:pPr>
    </w:p>
    <w:p>
      <w:pPr>
        <w:pStyle w:val="35"/>
        <w:framePr w:w="9952" w:h="6972" w:hRule="exact" w:x="1335" w:y="6012"/>
        <w:jc w:val="center"/>
        <w:rPr>
          <w:rFonts w:hint="eastAsia"/>
          <w:b w:val="0"/>
          <w:bCs w:val="0"/>
          <w:highlight w:val="none"/>
          <w:lang w:val="en-US" w:eastAsia="zh-CN"/>
        </w:rPr>
      </w:pPr>
      <w:r>
        <w:rPr>
          <w:rFonts w:hint="eastAsia"/>
          <w:b w:val="0"/>
          <w:bCs w:val="0"/>
          <w:highlight w:val="none"/>
          <w:lang w:val="en-US" w:eastAsia="zh-CN"/>
        </w:rPr>
        <w:t>跨境电商零售出口退货监管服务平台</w:t>
      </w:r>
    </w:p>
    <w:p>
      <w:pPr>
        <w:pStyle w:val="35"/>
        <w:framePr w:w="9952" w:h="6972" w:hRule="exact" w:x="1335" w:y="6012"/>
        <w:jc w:val="center"/>
        <w:rPr>
          <w:b w:val="0"/>
          <w:bCs w:val="0"/>
          <w:color w:val="FF0000"/>
          <w:highlight w:val="none"/>
        </w:rPr>
      </w:pPr>
      <w:r>
        <w:rPr>
          <w:rFonts w:hint="eastAsia"/>
          <w:b w:val="0"/>
          <w:bCs w:val="0"/>
          <w:highlight w:val="none"/>
          <w:lang w:val="en-US" w:eastAsia="zh-CN"/>
        </w:rPr>
        <w:t>接口规范</w:t>
      </w:r>
    </w:p>
    <w:p>
      <w:pPr>
        <w:pStyle w:val="36"/>
        <w:framePr w:w="9952" w:h="6972" w:hRule="exact" w:x="1335" w:y="6012"/>
        <w:pBdr>
          <w:top w:val="none" w:color="auto" w:sz="0" w:space="0"/>
          <w:left w:val="none" w:color="auto" w:sz="0" w:space="0"/>
          <w:bottom w:val="none" w:color="auto" w:sz="0" w:space="0"/>
          <w:right w:val="none" w:color="auto" w:sz="0" w:space="0"/>
        </w:pBdr>
        <w:spacing w:before="0"/>
        <w:rPr>
          <w:rFonts w:hint="eastAsia"/>
          <w:color w:val="auto"/>
          <w:sz w:val="28"/>
          <w:szCs w:val="28"/>
          <w:highlight w:val="none"/>
          <w:lang w:val="en-US" w:eastAsia="zh-CN"/>
        </w:rPr>
      </w:pPr>
    </w:p>
    <w:p>
      <w:pPr>
        <w:pStyle w:val="37"/>
        <w:framePr w:w="9952" w:h="6972" w:hRule="exact" w:x="1335" w:y="6012"/>
        <w:rPr>
          <w:highlight w:val="none"/>
        </w:rPr>
      </w:pPr>
      <w:r>
        <w:rPr>
          <w:rFonts w:hint="eastAsia"/>
          <w:highlight w:val="none"/>
        </w:rPr>
        <w:t>（</w:t>
      </w:r>
      <w:r>
        <w:rPr>
          <w:rFonts w:hint="eastAsia"/>
          <w:highlight w:val="none"/>
          <w:lang w:val="en-US" w:eastAsia="zh-CN"/>
        </w:rPr>
        <w:t>征求意见稿</w:t>
      </w:r>
      <w:r>
        <w:rPr>
          <w:rFonts w:hint="eastAsia"/>
          <w:highlight w:val="none"/>
        </w:rPr>
        <w:t>）</w:t>
      </w:r>
    </w:p>
    <w:p>
      <w:pPr>
        <w:pStyle w:val="40"/>
        <w:framePr w:hAnchor="page" w:x="1621" w:y="14082"/>
        <w:rPr>
          <w:highlight w:val="none"/>
        </w:rPr>
      </w:pPr>
      <w:r>
        <w:rPr>
          <w:rFonts w:hint="eastAsia" w:ascii="黑体"/>
          <w:highlight w:val="none"/>
        </w:rPr>
        <w:t>20XX</w:t>
      </w:r>
      <w:r>
        <w:rPr>
          <w:rFonts w:hint="eastAsia" w:ascii="黑体"/>
          <w:highlight w:val="none"/>
          <w:lang w:val="en-US" w:eastAsia="zh-CN"/>
        </w:rPr>
        <w:t xml:space="preserve"> - </w:t>
      </w:r>
      <w:r>
        <w:rPr>
          <w:rFonts w:hint="eastAsia" w:ascii="黑体"/>
          <w:highlight w:val="none"/>
        </w:rPr>
        <w:t>XX</w:t>
      </w:r>
      <w:r>
        <w:rPr>
          <w:rFonts w:hint="eastAsia" w:ascii="黑体"/>
          <w:highlight w:val="none"/>
          <w:lang w:val="en-US" w:eastAsia="zh-CN"/>
        </w:rPr>
        <w:t xml:space="preserve"> - </w:t>
      </w:r>
      <w:r>
        <w:rPr>
          <w:rFonts w:hint="eastAsia" w:ascii="黑体"/>
          <w:highlight w:val="none"/>
        </w:rPr>
        <w:t>XX</w:t>
      </w:r>
      <w:r>
        <w:rPr>
          <w:rFonts w:hint="eastAsia"/>
          <w:highlight w:val="none"/>
        </w:rPr>
        <w:t>发布</w:t>
      </w:r>
      <w:r>
        <w:rPr>
          <w:highlight w:val="none"/>
        </w:rPr>
        <mc:AlternateContent>
          <mc:Choice Requires="wps">
            <w:drawing>
              <wp:anchor distT="0" distB="0" distL="114300" distR="114300" simplePos="0" relativeHeight="251659264" behindDoc="0" locked="1" layoutInCell="1" allowOverlap="1">
                <wp:simplePos x="0" y="0"/>
                <wp:positionH relativeFrom="column">
                  <wp:posOffset>-635</wp:posOffset>
                </wp:positionH>
                <wp:positionV relativeFrom="page">
                  <wp:posOffset>9251950</wp:posOffset>
                </wp:positionV>
                <wp:extent cx="5743575" cy="1270"/>
                <wp:effectExtent l="0" t="0" r="0" b="0"/>
                <wp:wrapNone/>
                <wp:docPr id="5" name="直接连接符 5"/>
                <wp:cNvGraphicFramePr/>
                <a:graphic xmlns:a="http://schemas.openxmlformats.org/drawingml/2006/main">
                  <a:graphicData uri="http://schemas.microsoft.com/office/word/2010/wordprocessingShape">
                    <wps:wsp>
                      <wps:cNvCnPr/>
                      <wps:spPr>
                        <a:xfrm>
                          <a:off x="0" y="0"/>
                          <a:ext cx="5743575" cy="127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05pt;margin-top:728.5pt;height:0.1pt;width:452.25pt;mso-position-vertical-relative:page;z-index:251659264;mso-width-relative:page;mso-height-relative:page;" filled="f" stroked="t" coordsize="21600,21600" o:gfxdata="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ZjGlftYAAAALAQAADwAAAAAAAAABACAAAAAiAAAAZHJzL2Rvd25yZXYueG1sUEsBAhQA&#10;FAAAAAgAh07iQAbUBoj0AQAA6QMAAA4AAAAAAAAAAQAgAAAAJQEAAGRycy9lMm9Eb2MueG1sUEsF&#10;BgAAAAAGAAYAWQEAAIsFAAAAAA==&#10;">
                <v:fill on="f" focussize="0,0"/>
                <v:stroke color="#000000" joinstyle="round"/>
                <v:imagedata o:title=""/>
                <o:lock v:ext="edit" aspectratio="f"/>
                <w10:anchorlock/>
              </v:line>
            </w:pict>
          </mc:Fallback>
        </mc:AlternateContent>
      </w:r>
    </w:p>
    <w:p>
      <w:pPr>
        <w:pStyle w:val="42"/>
        <w:framePr w:hAnchor="page" w:x="6795"/>
        <w:rPr>
          <w:highlight w:val="none"/>
        </w:rPr>
      </w:pPr>
      <w:r>
        <w:rPr>
          <w:rFonts w:hint="eastAsia" w:ascii="黑体"/>
          <w:highlight w:val="none"/>
        </w:rPr>
        <w:t>20XX</w:t>
      </w:r>
      <w:r>
        <w:rPr>
          <w:rFonts w:hint="eastAsia" w:ascii="黑体"/>
          <w:highlight w:val="none"/>
          <w:lang w:val="en-US" w:eastAsia="zh-CN"/>
        </w:rPr>
        <w:t xml:space="preserve"> - </w:t>
      </w:r>
      <w:r>
        <w:rPr>
          <w:rFonts w:hint="eastAsia" w:ascii="黑体"/>
          <w:highlight w:val="none"/>
        </w:rPr>
        <w:t>XX</w:t>
      </w:r>
      <w:r>
        <w:rPr>
          <w:rFonts w:hint="eastAsia" w:ascii="黑体"/>
          <w:highlight w:val="none"/>
          <w:lang w:val="en-US" w:eastAsia="zh-CN"/>
        </w:rPr>
        <w:t xml:space="preserve"> - </w:t>
      </w:r>
      <w:r>
        <w:rPr>
          <w:rFonts w:hint="eastAsia" w:ascii="黑体"/>
          <w:highlight w:val="none"/>
        </w:rPr>
        <w:t>XX</w:t>
      </w:r>
      <w:r>
        <w:rPr>
          <w:rFonts w:hint="eastAsia"/>
          <w:highlight w:val="none"/>
        </w:rPr>
        <w:t>实施</w:t>
      </w:r>
    </w:p>
    <w:p>
      <w:pPr>
        <w:pStyle w:val="44"/>
        <w:framePr w:h="453" w:hRule="exact" w:wrap="around" w:x="2264" w:y="14860"/>
        <w:rPr>
          <w:highlight w:val="none"/>
        </w:rPr>
      </w:pPr>
      <w:bookmarkStart w:id="0" w:name="fm"/>
      <w:r>
        <w:rPr>
          <w:w w:val="100"/>
          <w:highlight w:val="none"/>
        </w:rPr>
        <mc:AlternateContent>
          <mc:Choice Requires="wps">
            <w:drawing>
              <wp:anchor distT="0" distB="0" distL="114300" distR="114300" simplePos="0" relativeHeight="251663360" behindDoc="1" locked="0" layoutInCell="1" allowOverlap="1">
                <wp:simplePos x="0" y="0"/>
                <wp:positionH relativeFrom="column">
                  <wp:posOffset>4413885</wp:posOffset>
                </wp:positionH>
                <wp:positionV relativeFrom="paragraph">
                  <wp:posOffset>-7435215</wp:posOffset>
                </wp:positionV>
                <wp:extent cx="1143000" cy="228600"/>
                <wp:effectExtent l="0" t="0" r="0" b="0"/>
                <wp:wrapNone/>
                <wp:docPr id="4" name="矩形 4"/>
                <wp:cNvGraphicFramePr/>
                <a:graphic xmlns:a="http://schemas.openxmlformats.org/drawingml/2006/main">
                  <a:graphicData uri="http://schemas.microsoft.com/office/word/2010/wordprocessingShape">
                    <wps:wsp>
                      <wps:cNvSpPr/>
                      <wps:spPr>
                        <a:xfrm>
                          <a:off x="0" y="0"/>
                          <a:ext cx="1143000" cy="228600"/>
                        </a:xfrm>
                        <a:prstGeom prst="rect">
                          <a:avLst/>
                        </a:prstGeom>
                        <a:solidFill>
                          <a:srgbClr val="FFFFFF"/>
                        </a:solidFill>
                        <a:ln w="9525">
                          <a:noFill/>
                        </a:ln>
                        <a:effectLst/>
                      </wps:spPr>
                      <wps:txbx>
                        <w:txbxContent>
                          <w:p>
                            <w:pPr>
                              <w:jc w:val="center"/>
                            </w:pPr>
                          </w:p>
                        </w:txbxContent>
                      </wps:txbx>
                      <wps:bodyPr upright="1"/>
                    </wps:wsp>
                  </a:graphicData>
                </a:graphic>
              </wp:anchor>
            </w:drawing>
          </mc:Choice>
          <mc:Fallback>
            <w:pict>
              <v:rect id="_x0000_s1026" o:spid="_x0000_s1026" o:spt="1" style="position:absolute;left:0pt;margin-left:347.55pt;margin-top:-585.45pt;height:18pt;width:90pt;z-index:-251653120;mso-width-relative:page;mso-height-relative:page;" fillcolor="#FFFFFF" filled="t" stroked="f" coordsize="21600,21600" o:gfxdata="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JihHaAAAADwEAAA8AAAAAAAAAAQAgAAAAIgAAAGRycy9kb3ducmV2&#10;LnhtbFBLAQIUABQAAAAIAIdO4kBqfsdDwQEAAIEDAAAOAAAAAAAAAAEAIAAAACkBAABkcnMvZTJv&#10;RG9jLnhtbFBLBQYAAAAABgAGAFkBAABcBQAAAAA=&#10;">
                <v:fill on="t" focussize="0,0"/>
                <v:stroke on="f"/>
                <v:imagedata o:title=""/>
                <o:lock v:ext="edit" aspectratio="f"/>
                <v:textbox>
                  <w:txbxContent>
                    <w:p>
                      <w:pPr>
                        <w:jc w:val="center"/>
                      </w:pPr>
                    </w:p>
                  </w:txbxContent>
                </v:textbox>
              </v:rect>
            </w:pict>
          </mc:Fallback>
        </mc:AlternateContent>
      </w:r>
      <w:r>
        <w:rPr>
          <w:w w:val="100"/>
          <w:highlight w:val="none"/>
        </w:rPr>
        <mc:AlternateContent>
          <mc:Choice Requires="wps">
            <w:drawing>
              <wp:anchor distT="0" distB="0" distL="114300" distR="114300" simplePos="0" relativeHeight="251660288" behindDoc="0" locked="0" layoutInCell="1" allowOverlap="1">
                <wp:simplePos x="0" y="0"/>
                <wp:positionH relativeFrom="column">
                  <wp:posOffset>-464820</wp:posOffset>
                </wp:positionH>
                <wp:positionV relativeFrom="paragraph">
                  <wp:posOffset>-7021195</wp:posOffset>
                </wp:positionV>
                <wp:extent cx="612013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6.6pt;margin-top:-552.85pt;height:0pt;width:481.9pt;z-index:251660288;mso-width-relative:page;mso-height-relative:page;" filled="f" stroked="t" coordsize="21600,21600" o:gfxdata="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slkaDYAAAADwEAAA8AAAAAAAAAAQAgAAAAIgAAAGRycy9kb3ducmV2LnhtbFBLAQIUABQA&#10;AAAIAIdO4kAs/HKg8AEAAOYDAAAOAAAAAAAAAAEAIAAAACcBAABkcnMvZTJvRG9jLnhtbFBLBQYA&#10;AAAABgAGAFkBAACJBQAAAAA=&#10;">
                <v:fill on="f" focussize="0,0"/>
                <v:stroke color="#000000" joinstyle="round"/>
                <v:imagedata o:title=""/>
                <o:lock v:ext="edit" aspectratio="f"/>
              </v:line>
            </w:pict>
          </mc:Fallback>
        </mc:AlternateContent>
      </w:r>
      <w:bookmarkEnd w:id="0"/>
      <w:r>
        <w:rPr>
          <w:rFonts w:hint="eastAsia"/>
          <w:w w:val="100"/>
          <w:highlight w:val="none"/>
        </w:rPr>
        <w:t>浙江省市场监督管理局</w:t>
      </w:r>
      <w:r>
        <w:rPr>
          <w:rFonts w:hint="eastAsia"/>
          <w:w w:val="100"/>
          <w:highlight w:val="none"/>
          <w:lang w:val="en-US" w:eastAsia="zh-CN"/>
        </w:rPr>
        <w:t xml:space="preserve">  </w:t>
      </w:r>
      <w:r>
        <w:rPr>
          <w:rStyle w:val="46"/>
          <w:rFonts w:hint="eastAsia"/>
          <w:highlight w:val="none"/>
        </w:rPr>
        <w:t>发布</w:t>
      </w:r>
    </w:p>
    <w:p>
      <w:pPr>
        <w:pStyle w:val="25"/>
        <w:ind w:firstLine="420"/>
        <w:rPr>
          <w:highlight w:val="none"/>
        </w:rPr>
        <w:sectPr>
          <w:headerReference r:id="rId3" w:type="default"/>
          <w:headerReference r:id="rId4" w:type="even"/>
          <w:pgSz w:w="11906" w:h="16838"/>
          <w:pgMar w:top="567" w:right="850" w:bottom="1134" w:left="1418" w:header="0" w:footer="0" w:gutter="0"/>
          <w:pgBorders>
            <w:top w:val="none" w:sz="0" w:space="0"/>
            <w:left w:val="none" w:sz="0" w:space="0"/>
            <w:bottom w:val="none" w:sz="0" w:space="0"/>
            <w:right w:val="none" w:sz="0" w:space="0"/>
          </w:pgBorders>
          <w:pgNumType w:start="1"/>
          <w:cols w:space="720" w:num="1"/>
          <w:docGrid w:type="lines" w:linePitch="312" w:charSpace="0"/>
        </w:sectPr>
      </w:pPr>
    </w:p>
    <w:p>
      <w:pPr>
        <w:pStyle w:val="25"/>
        <w:ind w:firstLine="0" w:firstLineChars="0"/>
        <w:jc w:val="center"/>
        <w:rPr>
          <w:rFonts w:eastAsia="黑体"/>
          <w:sz w:val="32"/>
          <w:highlight w:val="none"/>
        </w:rPr>
      </w:pPr>
      <w:bookmarkStart w:id="1" w:name="_Toc6479"/>
      <w:bookmarkStart w:id="2" w:name="_Toc739"/>
      <w:bookmarkStart w:id="3" w:name="_Toc11581"/>
      <w:bookmarkStart w:id="4" w:name="_Toc2239"/>
      <w:r>
        <w:rPr>
          <w:rFonts w:hint="eastAsia" w:eastAsia="黑体"/>
          <w:sz w:val="32"/>
          <w:highlight w:val="none"/>
        </w:rPr>
        <w:t>目</w:t>
      </w:r>
      <w:bookmarkStart w:id="5" w:name="BKML"/>
      <w:r>
        <w:rPr>
          <w:rFonts w:hint="eastAsia" w:eastAsia="黑体"/>
          <w:sz w:val="32"/>
          <w:highlight w:val="none"/>
        </w:rPr>
        <w:t>  次</w:t>
      </w:r>
      <w:bookmarkEnd w:id="1"/>
      <w:bookmarkEnd w:id="2"/>
      <w:bookmarkEnd w:id="3"/>
      <w:bookmarkEnd w:id="4"/>
      <w:bookmarkEnd w:id="5"/>
    </w:p>
    <w:sdt>
      <w:sdtPr>
        <w:rPr>
          <w:rFonts w:hint="eastAsia" w:ascii="宋体" w:hAnsi="宋体" w:eastAsia="宋体" w:cs="宋体"/>
          <w:kern w:val="2"/>
          <w:sz w:val="21"/>
          <w:szCs w:val="21"/>
          <w:lang w:val="en-US" w:eastAsia="zh-CN" w:bidi="ar-SA"/>
        </w:rPr>
        <w:id w:val="147457871"/>
        <w:docPartObj>
          <w:docPartGallery w:val="Table of Contents"/>
          <w:docPartUnique/>
        </w:docPartObj>
      </w:sdtPr>
      <w:sdtEndPr>
        <w:rPr>
          <w:rFonts w:hint="eastAsia" w:cs="宋体" w:asciiTheme="minorHAnsi" w:hAnsiTheme="minorHAnsi" w:eastAsiaTheme="minorEastAsia"/>
          <w:b/>
          <w:kern w:val="2"/>
          <w:sz w:val="21"/>
          <w:szCs w:val="21"/>
          <w:highlight w:val="none"/>
          <w:lang w:val="en-US" w:eastAsia="zh-CN" w:bidi="ar-SA"/>
        </w:rPr>
      </w:sdtEndPr>
      <w:sdtContent>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TOC \o "1-2" \h \u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_Toc28508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前言</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_Toc28508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II</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_Toc7743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w:t>
          </w:r>
          <w:r>
            <w:rPr>
              <w:rFonts w:hint="eastAsia"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范围</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_Toc7743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_Toc4576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2</w:t>
          </w:r>
          <w:r>
            <w:rPr>
              <w:rFonts w:hint="eastAsia"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规范性引用文件</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_Toc4576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0" w:firstLineChars="0"/>
            <w:jc w:val="both"/>
            <w:textAlignment w:val="auto"/>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_Toc20306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3</w:t>
          </w:r>
          <w:r>
            <w:rPr>
              <w:rFonts w:hint="eastAsia"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术语和定义</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_Toc20306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_Toc19429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4</w:t>
          </w:r>
          <w:r>
            <w:rPr>
              <w:rFonts w:hint="eastAsia" w:cs="宋体"/>
              <w:kern w:val="2"/>
              <w:sz w:val="21"/>
              <w:szCs w:val="21"/>
              <w:lang w:val="en-US" w:eastAsia="zh-CN" w:bidi="ar-SA"/>
            </w:rPr>
            <w:t xml:space="preserve">  一般要求</w:t>
          </w:r>
          <w:r>
            <w:rPr>
              <w:rFonts w:hint="eastAsia" w:ascii="宋体" w:hAnsi="宋体" w:eastAsia="宋体" w:cs="宋体"/>
              <w:kern w:val="2"/>
              <w:sz w:val="21"/>
              <w:szCs w:val="21"/>
              <w:lang w:val="en-US" w:eastAsia="zh-CN" w:bidi="ar-SA"/>
            </w:rPr>
            <w:tab/>
          </w:r>
          <w:r>
            <w:rPr>
              <w:rFonts w:hint="eastAsia" w:cs="宋体"/>
              <w:kern w:val="2"/>
              <w:sz w:val="21"/>
              <w:szCs w:val="21"/>
              <w:lang w:val="en-US" w:eastAsia="zh-CN" w:bidi="ar-SA"/>
            </w:rPr>
            <w:t>1</w:t>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_Toc28695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5</w:t>
          </w:r>
          <w:r>
            <w:rPr>
              <w:rFonts w:hint="eastAsia"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功能及接口要求</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_Toc28695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2</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00" w:lineRule="exact"/>
            <w:ind w:left="0" w:leftChars="0" w:firstLine="210" w:firstLineChars="1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_Toc14018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5.1  功能需求</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_Toc14018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2</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00" w:lineRule="exact"/>
            <w:ind w:left="0" w:leftChars="0" w:firstLine="210" w:firstLineChars="1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_Toc24006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5.2  企业端接口</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_Toc24006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3</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00" w:lineRule="exact"/>
            <w:ind w:left="0" w:leftChars="0" w:firstLine="210" w:firstLineChars="1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_Toc10078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5.3  申报数据管理功能</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_Toc10078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10</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00" w:lineRule="exact"/>
            <w:ind w:left="0" w:leftChars="0" w:firstLine="210" w:firstLineChars="1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_Toc3314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5.4  查询统计功能</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_Toc3314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15</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_Toc28974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6</w:t>
          </w:r>
          <w:r>
            <w:rPr>
              <w:rFonts w:hint="eastAsia"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运维和安全保障</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_Toc28974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17</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00" w:lineRule="exact"/>
            <w:ind w:left="0" w:leftChars="0" w:firstLine="210" w:firstLineChars="1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_Toc25399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6.1  运行环境</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_Toc25399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17</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00" w:lineRule="exact"/>
            <w:ind w:left="0" w:leftChars="0" w:firstLine="210" w:firstLineChars="1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_Toc14422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6.2  运行与维护</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_Toc14422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17</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00" w:lineRule="exact"/>
            <w:ind w:left="0" w:leftChars="0" w:firstLine="210" w:firstLineChars="1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_Toc26394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6.3  安全保障</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_Toc26394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18</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_Toc17983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7</w:t>
          </w:r>
          <w:r>
            <w:rPr>
              <w:rFonts w:hint="eastAsia"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投诉处理与改进</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_Toc17983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18</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00" w:lineRule="exact"/>
            <w:ind w:left="0" w:leftChars="0" w:firstLine="210" w:firstLineChars="1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_Toc23342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7.1  投诉处理</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_Toc23342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18</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00" w:lineRule="exact"/>
            <w:ind w:left="0" w:leftChars="0" w:firstLine="210" w:firstLineChars="1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_Toc7760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7.2  改进</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_Toc7760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18</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0" w:firstLineChars="0"/>
            <w:jc w:val="both"/>
            <w:textAlignment w:val="auto"/>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_Toc3851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附录A（资料性）</w:t>
          </w:r>
          <w:r>
            <w:rPr>
              <w:rFonts w:hint="eastAsia"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统一接入接口标准说明</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_Toc3851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19</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0" w:firstLineChars="0"/>
            <w:jc w:val="both"/>
            <w:textAlignment w:val="auto"/>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_Toc3932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附录B（规范性）</w:t>
          </w:r>
          <w:r>
            <w:rPr>
              <w:rFonts w:hint="eastAsia"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企业数据交换接口报文规范</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_Toc3932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24</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0" w:firstLineChars="0"/>
            <w:jc w:val="both"/>
            <w:textAlignment w:val="auto"/>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_Toc17779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附录C（资料性）</w:t>
          </w:r>
          <w:r>
            <w:rPr>
              <w:rFonts w:hint="eastAsia"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业务字典</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_Toc17779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36</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0" w:firstLineChars="0"/>
            <w:textAlignment w:val="auto"/>
            <w:rPr>
              <w:rFonts w:asciiTheme="minorEastAsia" w:hAnsiTheme="minorEastAsia" w:cstheme="minorEastAsia"/>
              <w:highlight w:val="none"/>
            </w:rPr>
          </w:pPr>
          <w:r>
            <w:rPr>
              <w:rFonts w:hint="eastAsia" w:ascii="宋体" w:hAnsi="宋体" w:eastAsia="宋体" w:cs="宋体"/>
              <w:kern w:val="2"/>
              <w:sz w:val="21"/>
              <w:szCs w:val="21"/>
              <w:lang w:val="en-US" w:eastAsia="zh-CN" w:bidi="ar-SA"/>
            </w:rPr>
            <w:fldChar w:fldCharType="end"/>
          </w:r>
        </w:p>
      </w:sdtContent>
    </w:sdt>
    <w:p>
      <w:pPr>
        <w:pageBreakBefore/>
        <w:jc w:val="center"/>
        <w:outlineLvl w:val="0"/>
        <w:rPr>
          <w:rFonts w:ascii="黑体" w:hAnsi="Times New Roman" w:eastAsia="黑体" w:cs="Times New Roman"/>
          <w:color w:val="000000"/>
          <w:kern w:val="0"/>
          <w:sz w:val="32"/>
          <w:szCs w:val="22"/>
          <w:highlight w:val="none"/>
        </w:rPr>
      </w:pPr>
      <w:bookmarkStart w:id="6" w:name="_Toc13772"/>
      <w:bookmarkStart w:id="7" w:name="_Toc29254"/>
      <w:bookmarkStart w:id="8" w:name="_Toc5537"/>
      <w:bookmarkStart w:id="9" w:name="_Toc28508"/>
      <w:r>
        <w:rPr>
          <w:rFonts w:hint="eastAsia" w:ascii="黑体" w:hAnsi="Times New Roman" w:eastAsia="黑体" w:cs="Times New Roman"/>
          <w:color w:val="000000"/>
          <w:kern w:val="0"/>
          <w:sz w:val="32"/>
          <w:szCs w:val="22"/>
          <w:highlight w:val="none"/>
        </w:rPr>
        <w:t>前言</w:t>
      </w:r>
      <w:bookmarkEnd w:id="6"/>
      <w:bookmarkEnd w:id="7"/>
      <w:bookmarkEnd w:id="8"/>
      <w:bookmarkEnd w:id="9"/>
    </w:p>
    <w:p>
      <w:pPr>
        <w:pStyle w:val="35"/>
        <w:framePr w:w="0" w:hRule="auto" w:wrap="auto" w:vAnchor="margin" w:hAnchor="text" w:xAlign="left" w:yAlign="inline"/>
        <w:spacing w:line="240" w:lineRule="auto"/>
        <w:ind w:firstLine="420" w:firstLineChars="200"/>
        <w:jc w:val="both"/>
        <w:rPr>
          <w:rFonts w:ascii="Times New Roman" w:eastAsiaTheme="minorEastAsia"/>
          <w:sz w:val="21"/>
          <w:szCs w:val="32"/>
          <w:highlight w:val="none"/>
        </w:rPr>
      </w:pPr>
      <w:r>
        <w:rPr>
          <w:rFonts w:hint="eastAsia" w:ascii="Times New Roman" w:eastAsiaTheme="minorEastAsia"/>
          <w:sz w:val="21"/>
          <w:szCs w:val="32"/>
          <w:highlight w:val="none"/>
        </w:rPr>
        <w:t>本文件按照GB/T</w:t>
      </w:r>
      <w:r>
        <w:rPr>
          <w:rFonts w:hint="eastAsia" w:ascii="Times New Roman" w:eastAsiaTheme="minorEastAsia"/>
          <w:sz w:val="21"/>
          <w:szCs w:val="32"/>
          <w:highlight w:val="none"/>
          <w:lang w:val="en-US" w:eastAsia="zh-CN"/>
        </w:rPr>
        <w:t xml:space="preserve"> </w:t>
      </w:r>
      <w:r>
        <w:rPr>
          <w:rFonts w:hint="eastAsia" w:ascii="Times New Roman" w:eastAsiaTheme="minorEastAsia"/>
          <w:sz w:val="21"/>
          <w:szCs w:val="32"/>
          <w:highlight w:val="none"/>
        </w:rPr>
        <w:t>1.1—2020《标准化工作导则</w:t>
      </w:r>
      <w:r>
        <w:rPr>
          <w:rFonts w:hint="eastAsia" w:ascii="Times New Roman" w:eastAsiaTheme="minorEastAsia"/>
          <w:sz w:val="21"/>
          <w:szCs w:val="32"/>
          <w:highlight w:val="none"/>
          <w:lang w:val="en-US" w:eastAsia="zh-CN"/>
        </w:rPr>
        <w:t xml:space="preserve"> </w:t>
      </w:r>
      <w:r>
        <w:rPr>
          <w:rFonts w:hint="eastAsia" w:ascii="Times New Roman" w:eastAsiaTheme="minorEastAsia"/>
          <w:sz w:val="21"/>
          <w:szCs w:val="32"/>
          <w:highlight w:val="none"/>
        </w:rPr>
        <w:t>第1部分：标准化文件的结构和起草规则》的规定起草。</w:t>
      </w:r>
    </w:p>
    <w:p>
      <w:pPr>
        <w:ind w:firstLine="420" w:firstLineChars="200"/>
        <w:rPr>
          <w:rFonts w:ascii="Times New Roman" w:hAnsi="Times New Roman" w:eastAsia="宋体" w:cs="Times New Roman"/>
          <w:color w:val="000000"/>
          <w:highlight w:val="none"/>
        </w:rPr>
      </w:pPr>
      <w:r>
        <w:rPr>
          <w:rFonts w:hint="eastAsia" w:ascii="Times New Roman" w:hAnsi="Times New Roman" w:eastAsia="宋体" w:cs="Times New Roman"/>
          <w:color w:val="000000"/>
          <w:highlight w:val="none"/>
        </w:rPr>
        <w:t>本</w:t>
      </w:r>
      <w:r>
        <w:rPr>
          <w:rFonts w:hint="eastAsia" w:ascii="Times New Roman" w:hAnsi="Times New Roman" w:eastAsia="宋体" w:cs="Times New Roman"/>
          <w:color w:val="000000"/>
          <w:highlight w:val="none"/>
          <w:lang w:val="en-US" w:eastAsia="zh-CN"/>
        </w:rPr>
        <w:t>文件</w:t>
      </w:r>
      <w:r>
        <w:rPr>
          <w:rFonts w:hint="eastAsia" w:ascii="Times New Roman" w:hAnsi="Times New Roman" w:eastAsia="宋体" w:cs="Times New Roman"/>
          <w:color w:val="000000"/>
          <w:highlight w:val="none"/>
        </w:rPr>
        <w:t>由</w:t>
      </w:r>
      <w:r>
        <w:rPr>
          <w:rFonts w:hint="eastAsia" w:ascii="Times New Roman" w:hAnsi="Times New Roman" w:eastAsia="宋体" w:cs="Times New Roman"/>
          <w:color w:val="000000"/>
          <w:highlight w:val="none"/>
          <w:lang w:val="en-US" w:eastAsia="zh-CN"/>
        </w:rPr>
        <w:t>浙江省商务厅</w:t>
      </w:r>
      <w:r>
        <w:rPr>
          <w:rFonts w:hint="eastAsia" w:ascii="Times New Roman" w:hAnsi="Times New Roman" w:eastAsia="宋体" w:cs="Times New Roman"/>
          <w:color w:val="000000"/>
          <w:highlight w:val="none"/>
        </w:rPr>
        <w:t>提出并归口。</w:t>
      </w:r>
    </w:p>
    <w:p>
      <w:pPr>
        <w:ind w:firstLine="420" w:firstLineChars="200"/>
        <w:rPr>
          <w:rFonts w:ascii="Times New Roman" w:hAnsi="Times New Roman" w:eastAsia="宋体" w:cs="Times New Roman"/>
          <w:b w:val="0"/>
          <w:bCs w:val="0"/>
          <w:color w:val="000000" w:themeColor="text1"/>
          <w:highlight w:val="none"/>
          <w14:textFill>
            <w14:solidFill>
              <w14:schemeClr w14:val="tx1"/>
            </w14:solidFill>
          </w14:textFill>
        </w:rPr>
      </w:pPr>
      <w:r>
        <w:rPr>
          <w:rFonts w:hint="eastAsia" w:ascii="Times New Roman" w:hAnsi="Times New Roman" w:eastAsia="宋体" w:cs="Times New Roman"/>
          <w:color w:val="000000"/>
          <w:highlight w:val="none"/>
        </w:rPr>
        <w:t>本</w:t>
      </w:r>
      <w:r>
        <w:rPr>
          <w:rFonts w:hint="eastAsia" w:ascii="Times New Roman" w:hAnsi="Times New Roman" w:eastAsia="宋体" w:cs="Times New Roman"/>
          <w:color w:val="000000"/>
          <w:highlight w:val="none"/>
          <w:lang w:val="en-US" w:eastAsia="zh-CN"/>
        </w:rPr>
        <w:t>文件</w:t>
      </w:r>
      <w:r>
        <w:rPr>
          <w:rFonts w:hint="eastAsia" w:ascii="Times New Roman" w:hAnsi="Times New Roman" w:eastAsia="宋体" w:cs="Times New Roman"/>
          <w:color w:val="000000"/>
          <w:highlight w:val="none"/>
        </w:rPr>
        <w:t xml:space="preserve">起草单位：中国（浙江）自由贸易试验区杭州创新发展中心、浙江省电子商务促进中心 </w:t>
      </w:r>
      <w:r>
        <w:rPr>
          <w:rFonts w:hint="eastAsia" w:ascii="Times New Roman" w:hAnsi="Times New Roman" w:eastAsia="宋体" w:cs="Times New Roman"/>
          <w:b w:val="0"/>
          <w:bCs w:val="0"/>
          <w:color w:val="000000" w:themeColor="text1"/>
          <w:highlight w:val="none"/>
          <w14:textFill>
            <w14:solidFill>
              <w14:schemeClr w14:val="tx1"/>
            </w14:solidFill>
          </w14:textFill>
        </w:rPr>
        <w:t>。</w:t>
      </w:r>
    </w:p>
    <w:p>
      <w:pPr>
        <w:ind w:firstLine="420" w:firstLineChars="200"/>
        <w:rPr>
          <w:rFonts w:ascii="Times New Roman" w:hAnsi="Times New Roman" w:eastAsia="宋体" w:cs="Times New Roman"/>
          <w:color w:val="000000"/>
          <w:highlight w:val="none"/>
        </w:rPr>
      </w:pPr>
      <w:r>
        <w:rPr>
          <w:rFonts w:hint="eastAsia" w:ascii="Times New Roman" w:hAnsi="Times New Roman" w:eastAsia="宋体" w:cs="Times New Roman"/>
          <w:color w:val="000000"/>
          <w:highlight w:val="none"/>
        </w:rPr>
        <w:t>本</w:t>
      </w:r>
      <w:r>
        <w:rPr>
          <w:rFonts w:hint="eastAsia" w:ascii="Times New Roman" w:hAnsi="Times New Roman" w:eastAsia="宋体" w:cs="Times New Roman"/>
          <w:color w:val="000000"/>
          <w:highlight w:val="none"/>
          <w:lang w:val="en-US" w:eastAsia="zh-CN"/>
        </w:rPr>
        <w:t>文件</w:t>
      </w:r>
      <w:r>
        <w:rPr>
          <w:rFonts w:hint="eastAsia" w:ascii="Times New Roman" w:hAnsi="Times New Roman" w:eastAsia="宋体" w:cs="Times New Roman"/>
          <w:color w:val="000000"/>
          <w:highlight w:val="none"/>
        </w:rPr>
        <w:t>主要起草人：潘思蔚、沈超</w:t>
      </w:r>
      <w:r>
        <w:rPr>
          <w:rFonts w:hint="eastAsia" w:ascii="宋体" w:hAnsi="宋体"/>
          <w:color w:val="000000" w:themeColor="text1"/>
          <w:highlight w:val="none"/>
          <w14:textFill>
            <w14:solidFill>
              <w14:schemeClr w14:val="tx1"/>
            </w14:solidFill>
          </w14:textFill>
        </w:rPr>
        <w:t>。</w:t>
      </w:r>
    </w:p>
    <w:p>
      <w:pPr>
        <w:rPr>
          <w:highlight w:val="none"/>
        </w:rPr>
      </w:pPr>
    </w:p>
    <w:p>
      <w:pPr>
        <w:rPr>
          <w:highlight w:val="none"/>
        </w:rPr>
      </w:pPr>
    </w:p>
    <w:p>
      <w:pPr>
        <w:rPr>
          <w:highlight w:val="none"/>
        </w:rPr>
      </w:pPr>
    </w:p>
    <w:p>
      <w:pPr>
        <w:rPr>
          <w:highlight w:val="none"/>
        </w:rPr>
      </w:pPr>
    </w:p>
    <w:p>
      <w:pPr>
        <w:rPr>
          <w:highlight w:val="none"/>
        </w:rPr>
        <w:sectPr>
          <w:headerReference r:id="rId5" w:type="default"/>
          <w:footerReference r:id="rId7" w:type="default"/>
          <w:headerReference r:id="rId6" w:type="even"/>
          <w:footerReference r:id="rId8" w:type="even"/>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rPr>
          <w:highlight w:val="none"/>
        </w:rPr>
      </w:pPr>
    </w:p>
    <w:p>
      <w:pPr>
        <w:jc w:val="center"/>
        <w:outlineLvl w:val="0"/>
        <w:rPr>
          <w:rFonts w:ascii="黑体" w:hAnsi="黑体" w:eastAsia="黑体" w:cs="黑体"/>
          <w:sz w:val="32"/>
          <w:szCs w:val="32"/>
          <w:highlight w:val="none"/>
        </w:rPr>
      </w:pPr>
      <w:r>
        <w:rPr>
          <w:rFonts w:hint="eastAsia" w:ascii="黑体" w:hAnsi="黑体" w:eastAsia="黑体" w:cs="黑体"/>
          <w:sz w:val="32"/>
          <w:szCs w:val="32"/>
          <w:highlight w:val="none"/>
        </w:rPr>
        <w:t>跨境电商零售出口退货监管服务平台接口规范</w:t>
      </w:r>
    </w:p>
    <w:p>
      <w:pPr>
        <w:pStyle w:val="24"/>
        <w:numPr>
          <w:ilvl w:val="0"/>
          <w:numId w:val="7"/>
        </w:numPr>
        <w:spacing w:before="312" w:after="312"/>
        <w:outlineLvl w:val="0"/>
        <w:rPr>
          <w:color w:val="000000"/>
          <w:highlight w:val="none"/>
        </w:rPr>
      </w:pPr>
      <w:bookmarkStart w:id="10" w:name="_Toc7743"/>
      <w:bookmarkStart w:id="11" w:name="_Toc29824"/>
      <w:bookmarkStart w:id="12" w:name="_Toc32357"/>
      <w:bookmarkStart w:id="13" w:name="_Toc30830"/>
      <w:r>
        <w:rPr>
          <w:rFonts w:hint="eastAsia"/>
          <w:color w:val="000000"/>
          <w:highlight w:val="none"/>
        </w:rPr>
        <w:t>范围</w:t>
      </w:r>
      <w:bookmarkEnd w:id="10"/>
      <w:bookmarkEnd w:id="11"/>
      <w:bookmarkEnd w:id="12"/>
      <w:bookmarkEnd w:id="13"/>
    </w:p>
    <w:p>
      <w:pPr>
        <w:pStyle w:val="25"/>
        <w:ind w:firstLine="420"/>
        <w:rPr>
          <w:color w:val="000000"/>
          <w:highlight w:val="none"/>
        </w:rPr>
      </w:pPr>
      <w:bookmarkStart w:id="14" w:name="_Toc490577967"/>
      <w:r>
        <w:rPr>
          <w:rFonts w:hint="eastAsia"/>
          <w:color w:val="000000"/>
          <w:highlight w:val="none"/>
        </w:rPr>
        <w:t>本</w:t>
      </w:r>
      <w:r>
        <w:rPr>
          <w:rFonts w:hint="eastAsia"/>
          <w:color w:val="000000"/>
          <w:highlight w:val="none"/>
          <w:lang w:val="en-US" w:eastAsia="zh-CN"/>
        </w:rPr>
        <w:t>文件规定了</w:t>
      </w:r>
      <w:bookmarkEnd w:id="14"/>
      <w:r>
        <w:rPr>
          <w:rFonts w:hint="eastAsia"/>
          <w:color w:val="000000"/>
          <w:highlight w:val="none"/>
        </w:rPr>
        <w:t>跨境电商出口退货监管服务平台</w:t>
      </w:r>
      <w:r>
        <w:rPr>
          <w:rFonts w:hint="eastAsia"/>
          <w:color w:val="000000"/>
          <w:highlight w:val="none"/>
          <w:lang w:eastAsia="zh-CN"/>
        </w:rPr>
        <w:t>的</w:t>
      </w:r>
      <w:r>
        <w:rPr>
          <w:rFonts w:hint="eastAsia"/>
          <w:color w:val="000000"/>
          <w:highlight w:val="none"/>
          <w:lang w:val="en-US" w:eastAsia="zh-CN"/>
        </w:rPr>
        <w:t>一般要求、功能及接口要求</w:t>
      </w:r>
      <w:r>
        <w:rPr>
          <w:rFonts w:hint="eastAsia"/>
          <w:color w:val="000000"/>
          <w:highlight w:val="none"/>
        </w:rPr>
        <w:t>、</w:t>
      </w:r>
      <w:r>
        <w:rPr>
          <w:rFonts w:hint="eastAsia"/>
          <w:color w:val="000000"/>
          <w:highlight w:val="none"/>
          <w:lang w:val="en-US" w:eastAsia="zh-CN"/>
        </w:rPr>
        <w:t>运维和安全保障、投诉处理与改进</w:t>
      </w:r>
      <w:r>
        <w:rPr>
          <w:rFonts w:hint="eastAsia"/>
          <w:color w:val="000000"/>
          <w:highlight w:val="none"/>
        </w:rPr>
        <w:t>。</w:t>
      </w:r>
    </w:p>
    <w:p>
      <w:pPr>
        <w:pStyle w:val="25"/>
        <w:ind w:firstLine="420"/>
        <w:rPr>
          <w:color w:val="000000"/>
          <w:highlight w:val="none"/>
        </w:rPr>
      </w:pPr>
      <w:r>
        <w:rPr>
          <w:rFonts w:hint="eastAsia"/>
          <w:color w:val="000000"/>
          <w:highlight w:val="none"/>
        </w:rPr>
        <w:t>本</w:t>
      </w:r>
      <w:r>
        <w:rPr>
          <w:rFonts w:hint="eastAsia"/>
          <w:color w:val="000000"/>
          <w:highlight w:val="none"/>
          <w:lang w:val="en-US" w:eastAsia="zh-CN"/>
        </w:rPr>
        <w:t>文件</w:t>
      </w:r>
      <w:r>
        <w:rPr>
          <w:rFonts w:hint="eastAsia"/>
          <w:color w:val="000000"/>
          <w:highlight w:val="none"/>
        </w:rPr>
        <w:t>适用于跨境电商零售出口退货监管服务平台</w:t>
      </w:r>
      <w:r>
        <w:rPr>
          <w:rFonts w:hint="eastAsia"/>
          <w:color w:val="000000"/>
          <w:highlight w:val="none"/>
          <w:lang w:val="en-US" w:eastAsia="zh-CN"/>
        </w:rPr>
        <w:t>的</w:t>
      </w:r>
      <w:r>
        <w:rPr>
          <w:rFonts w:hint="eastAsia"/>
          <w:color w:val="000000"/>
          <w:highlight w:val="none"/>
        </w:rPr>
        <w:t>应用。</w:t>
      </w:r>
    </w:p>
    <w:p>
      <w:pPr>
        <w:pStyle w:val="24"/>
        <w:numPr>
          <w:ilvl w:val="0"/>
          <w:numId w:val="7"/>
        </w:numPr>
        <w:spacing w:before="312" w:after="312"/>
        <w:outlineLvl w:val="0"/>
        <w:rPr>
          <w:rFonts w:hAnsi="黑体" w:cs="黑体"/>
          <w:highlight w:val="none"/>
        </w:rPr>
      </w:pPr>
      <w:bookmarkStart w:id="15" w:name="_Toc4576"/>
      <w:r>
        <w:rPr>
          <w:rFonts w:hint="eastAsia" w:hAnsi="黑体" w:cs="黑体"/>
          <w:highlight w:val="none"/>
        </w:rPr>
        <w:t>规范性引用文件</w:t>
      </w:r>
      <w:bookmarkEnd w:id="15"/>
    </w:p>
    <w:p>
      <w:pPr>
        <w:pStyle w:val="25"/>
        <w:rPr>
          <w:rFonts w:ascii="Times New Roman" w:hAnsi="Times New Roman"/>
          <w:highlight w:val="none"/>
        </w:rPr>
      </w:pPr>
      <w:bookmarkStart w:id="16" w:name="_Toc17350"/>
      <w:bookmarkStart w:id="17" w:name="_Toc30806"/>
      <w:bookmarkStart w:id="18" w:name="_Toc6716"/>
      <w:bookmarkStart w:id="19" w:name="_Toc12531"/>
      <w:bookmarkStart w:id="20" w:name="_Toc7957"/>
      <w:r>
        <w:rPr>
          <w:rFonts w:ascii="Times New Roman" w:hAnsi="Times New Roman"/>
          <w:highlight w:val="none"/>
        </w:rPr>
        <w:t>下列文件</w:t>
      </w:r>
      <w:r>
        <w:rPr>
          <w:rFonts w:hint="eastAsia" w:ascii="Times New Roman" w:hAnsi="Times New Roman"/>
          <w:highlight w:val="none"/>
          <w:lang w:val="en-US" w:eastAsia="zh-CN"/>
        </w:rPr>
        <w:t>中的内容通过文中的规范性引用而构成本文件必不可少的条款</w:t>
      </w:r>
      <w:r>
        <w:rPr>
          <w:rFonts w:ascii="Times New Roman" w:hAnsi="Times New Roman"/>
          <w:highlight w:val="none"/>
        </w:rPr>
        <w:t>。</w:t>
      </w:r>
      <w:r>
        <w:rPr>
          <w:rFonts w:hint="eastAsia" w:ascii="Times New Roman" w:hAnsi="Times New Roman"/>
          <w:highlight w:val="none"/>
          <w:lang w:val="en-US" w:eastAsia="zh-CN"/>
        </w:rPr>
        <w:t>其中，</w:t>
      </w:r>
      <w:r>
        <w:rPr>
          <w:rFonts w:ascii="Times New Roman" w:hAnsi="Times New Roman"/>
          <w:highlight w:val="none"/>
        </w:rPr>
        <w:t>注日期的引用文件，仅</w:t>
      </w:r>
      <w:r>
        <w:rPr>
          <w:rFonts w:hint="eastAsia" w:ascii="Times New Roman" w:hAnsi="Times New Roman"/>
          <w:highlight w:val="none"/>
          <w:lang w:val="en-US" w:eastAsia="zh-CN"/>
        </w:rPr>
        <w:t>该</w:t>
      </w:r>
      <w:r>
        <w:rPr>
          <w:rFonts w:ascii="Times New Roman" w:hAnsi="Times New Roman"/>
          <w:highlight w:val="none"/>
        </w:rPr>
        <w:t>日期</w:t>
      </w:r>
      <w:r>
        <w:rPr>
          <w:rFonts w:hint="eastAsia" w:ascii="Times New Roman" w:hAnsi="Times New Roman"/>
          <w:highlight w:val="none"/>
          <w:lang w:val="en-US" w:eastAsia="zh-CN"/>
        </w:rPr>
        <w:t>对应</w:t>
      </w:r>
      <w:r>
        <w:rPr>
          <w:rFonts w:ascii="Times New Roman" w:hAnsi="Times New Roman"/>
          <w:highlight w:val="none"/>
        </w:rPr>
        <w:t>的版本适用于本文件</w:t>
      </w:r>
      <w:r>
        <w:rPr>
          <w:rFonts w:hint="eastAsia" w:ascii="Times New Roman" w:hAnsi="Times New Roman"/>
          <w:highlight w:val="none"/>
          <w:lang w:eastAsia="zh-CN"/>
        </w:rPr>
        <w:t>；</w:t>
      </w:r>
      <w:r>
        <w:rPr>
          <w:rFonts w:ascii="Times New Roman" w:hAnsi="Times New Roman"/>
          <w:highlight w:val="none"/>
        </w:rPr>
        <w:t>不注日期的引用文件，其最新版本（包括所有的修改单）适用于本文件。</w:t>
      </w:r>
    </w:p>
    <w:p>
      <w:pPr>
        <w:bidi w:val="0"/>
      </w:pPr>
    </w:p>
    <w:bookmarkEnd w:id="16"/>
    <w:bookmarkEnd w:id="17"/>
    <w:p>
      <w:pPr>
        <w:pStyle w:val="24"/>
        <w:numPr>
          <w:ilvl w:val="0"/>
          <w:numId w:val="7"/>
        </w:numPr>
        <w:spacing w:before="312" w:after="312"/>
        <w:outlineLvl w:val="0"/>
        <w:rPr>
          <w:color w:val="000000"/>
          <w:highlight w:val="none"/>
        </w:rPr>
      </w:pPr>
      <w:bookmarkStart w:id="21" w:name="_Toc20306"/>
      <w:r>
        <w:rPr>
          <w:rFonts w:hint="eastAsia"/>
          <w:color w:val="000000"/>
          <w:highlight w:val="none"/>
        </w:rPr>
        <w:t>术语和定义</w:t>
      </w:r>
      <w:bookmarkEnd w:id="18"/>
      <w:bookmarkEnd w:id="19"/>
      <w:bookmarkEnd w:id="20"/>
      <w:bookmarkEnd w:id="21"/>
    </w:p>
    <w:p>
      <w:pPr>
        <w:pStyle w:val="25"/>
        <w:ind w:firstLine="420"/>
        <w:rPr>
          <w:rFonts w:hint="eastAsia" w:ascii="Times New Roman"/>
          <w:color w:val="000000"/>
          <w:highlight w:val="none"/>
        </w:rPr>
      </w:pPr>
      <w:r>
        <w:rPr>
          <w:rFonts w:hint="eastAsia" w:ascii="Times New Roman"/>
          <w:color w:val="000000"/>
          <w:highlight w:val="none"/>
        </w:rPr>
        <w:t>下列术语</w:t>
      </w:r>
      <w:r>
        <w:rPr>
          <w:rFonts w:hint="eastAsia" w:ascii="Times New Roman"/>
          <w:color w:val="000000"/>
          <w:highlight w:val="none"/>
          <w:lang w:val="en-US" w:eastAsia="zh-CN"/>
        </w:rPr>
        <w:t>和</w:t>
      </w:r>
      <w:r>
        <w:rPr>
          <w:rFonts w:hint="eastAsia" w:ascii="Times New Roman"/>
          <w:color w:val="000000"/>
          <w:highlight w:val="none"/>
        </w:rPr>
        <w:t>定义适用于本文件。</w:t>
      </w:r>
    </w:p>
    <w:p>
      <w:pPr>
        <w:pStyle w:val="26"/>
        <w:numPr>
          <w:ilvl w:val="1"/>
          <w:numId w:val="7"/>
        </w:numPr>
        <w:tabs>
          <w:tab w:val="center" w:pos="4201"/>
          <w:tab w:val="right" w:leader="dot" w:pos="9298"/>
        </w:tabs>
        <w:spacing w:before="156" w:after="156"/>
        <w:ind w:left="0" w:leftChars="0" w:firstLine="0" w:firstLineChars="0"/>
        <w:outlineLvl w:val="1"/>
        <w:rPr>
          <w:rFonts w:hint="eastAsia" w:hAnsi="Times New Roman" w:cs="Times New Roman"/>
          <w:highlight w:val="none"/>
          <w:lang w:val="en-US" w:eastAsia="zh-CN"/>
        </w:rPr>
      </w:pPr>
      <w:bookmarkStart w:id="22" w:name="_Toc20901"/>
      <w:bookmarkEnd w:id="22"/>
      <w:bookmarkStart w:id="23" w:name="_Toc9396"/>
      <w:bookmarkEnd w:id="23"/>
      <w:bookmarkStart w:id="24" w:name="_Toc2349"/>
      <w:bookmarkEnd w:id="24"/>
    </w:p>
    <w:p>
      <w:pPr>
        <w:pStyle w:val="26"/>
        <w:numPr>
          <w:ilvl w:val="1"/>
          <w:numId w:val="0"/>
        </w:numPr>
        <w:tabs>
          <w:tab w:val="center" w:pos="4201"/>
          <w:tab w:val="right" w:leader="dot" w:pos="9298"/>
        </w:tabs>
        <w:spacing w:before="156" w:after="156"/>
        <w:ind w:leftChars="0" w:firstLine="420" w:firstLineChars="200"/>
        <w:outlineLvl w:val="9"/>
        <w:rPr>
          <w:rFonts w:hint="default" w:hAnsi="Times New Roman" w:cs="Times New Roman"/>
          <w:highlight w:val="none"/>
          <w:lang w:val="en-US"/>
        </w:rPr>
      </w:pPr>
      <w:bookmarkStart w:id="25" w:name="_Toc14236"/>
      <w:bookmarkStart w:id="26" w:name="_Toc14933"/>
      <w:bookmarkStart w:id="27" w:name="_Toc4984"/>
      <w:r>
        <w:rPr>
          <w:rFonts w:hint="eastAsia" w:hAnsi="Times New Roman" w:cs="Times New Roman"/>
          <w:highlight w:val="none"/>
        </w:rPr>
        <w:t>跨境</w:t>
      </w:r>
      <w:r>
        <w:rPr>
          <w:rFonts w:hint="eastAsia" w:cs="Times New Roman"/>
          <w:highlight w:val="none"/>
          <w:lang w:val="en-US" w:eastAsia="zh-CN"/>
        </w:rPr>
        <w:t>电子商务  cross-border e-commerce</w:t>
      </w:r>
      <w:bookmarkEnd w:id="25"/>
      <w:bookmarkEnd w:id="26"/>
      <w:bookmarkEnd w:id="27"/>
    </w:p>
    <w:p>
      <w:pPr>
        <w:pStyle w:val="25"/>
        <w:ind w:firstLine="420"/>
        <w:rPr>
          <w:rFonts w:hint="eastAsia" w:asciiTheme="minorEastAsia" w:hAnsiTheme="minorEastAsia" w:cstheme="minorEastAsia"/>
          <w:szCs w:val="21"/>
          <w:highlight w:val="none"/>
          <w:lang w:val="en-US" w:eastAsia="zh-CN"/>
        </w:rPr>
      </w:pPr>
      <w:r>
        <w:rPr>
          <w:rFonts w:hint="eastAsia" w:asciiTheme="minorEastAsia" w:hAnsiTheme="minorEastAsia" w:cstheme="minorEastAsia"/>
          <w:szCs w:val="21"/>
          <w:highlight w:val="none"/>
          <w:lang w:val="en-US" w:eastAsia="zh-CN"/>
        </w:rPr>
        <w:t>通过电子商务平台进行产品进出口的电子商务。</w:t>
      </w:r>
    </w:p>
    <w:p>
      <w:pPr>
        <w:pStyle w:val="25"/>
        <w:ind w:firstLine="420"/>
        <w:rPr>
          <w:rFonts w:hint="default" w:asciiTheme="minorEastAsia" w:hAnsiTheme="minorEastAsia" w:cstheme="minorEastAsia"/>
          <w:szCs w:val="21"/>
          <w:highlight w:val="none"/>
          <w:lang w:val="en-US" w:eastAsia="zh-CN"/>
        </w:rPr>
      </w:pPr>
      <w:r>
        <w:rPr>
          <w:rFonts w:hint="eastAsia" w:asciiTheme="minorEastAsia" w:hAnsiTheme="minorEastAsia" w:cstheme="minorEastAsia"/>
          <w:szCs w:val="21"/>
          <w:highlight w:val="none"/>
          <w:lang w:val="en-US" w:eastAsia="zh-CN"/>
        </w:rPr>
        <w:t>[来源：GB/T 35408—2017,2.1.3]</w:t>
      </w:r>
    </w:p>
    <w:p>
      <w:pPr>
        <w:pStyle w:val="26"/>
        <w:numPr>
          <w:ilvl w:val="1"/>
          <w:numId w:val="7"/>
        </w:numPr>
        <w:tabs>
          <w:tab w:val="center" w:pos="4201"/>
          <w:tab w:val="right" w:leader="dot" w:pos="9298"/>
        </w:tabs>
        <w:spacing w:before="156" w:after="156"/>
        <w:ind w:left="0" w:leftChars="0" w:firstLine="0" w:firstLineChars="0"/>
        <w:outlineLvl w:val="1"/>
        <w:rPr>
          <w:rFonts w:hint="eastAsia" w:hAnsi="Times New Roman" w:cs="Times New Roman"/>
          <w:highlight w:val="none"/>
          <w:lang w:val="en-US" w:eastAsia="zh-CN"/>
        </w:rPr>
      </w:pPr>
      <w:bookmarkStart w:id="28" w:name="_Toc29986"/>
      <w:bookmarkEnd w:id="28"/>
      <w:bookmarkStart w:id="29" w:name="_Toc2432"/>
      <w:bookmarkEnd w:id="29"/>
      <w:bookmarkStart w:id="30" w:name="_Toc13121"/>
      <w:bookmarkEnd w:id="30"/>
      <w:bookmarkStart w:id="31" w:name="_Toc9756"/>
      <w:bookmarkEnd w:id="31"/>
      <w:bookmarkStart w:id="32" w:name="_Toc26815"/>
      <w:bookmarkEnd w:id="32"/>
      <w:bookmarkStart w:id="33" w:name="_Toc12881"/>
      <w:bookmarkEnd w:id="33"/>
      <w:bookmarkStart w:id="34" w:name="_Toc25008"/>
      <w:bookmarkEnd w:id="34"/>
      <w:bookmarkStart w:id="35" w:name="_Toc19790"/>
      <w:bookmarkEnd w:id="35"/>
    </w:p>
    <w:p>
      <w:pPr>
        <w:pStyle w:val="26"/>
        <w:numPr>
          <w:ilvl w:val="1"/>
          <w:numId w:val="0"/>
        </w:numPr>
        <w:tabs>
          <w:tab w:val="center" w:pos="4201"/>
          <w:tab w:val="right" w:leader="dot" w:pos="9298"/>
        </w:tabs>
        <w:spacing w:before="156" w:after="156"/>
        <w:ind w:leftChars="0" w:firstLine="420" w:firstLineChars="200"/>
        <w:outlineLvl w:val="9"/>
        <w:rPr>
          <w:rFonts w:hint="default" w:hAnsi="Times New Roman" w:cs="Times New Roman"/>
          <w:highlight w:val="none"/>
          <w:lang w:val="en-US"/>
        </w:rPr>
      </w:pPr>
      <w:bookmarkStart w:id="36" w:name="_Toc2874"/>
      <w:bookmarkStart w:id="37" w:name="_Toc24445"/>
      <w:bookmarkStart w:id="38" w:name="_Toc4531"/>
      <w:bookmarkStart w:id="39" w:name="_Toc23307"/>
      <w:bookmarkStart w:id="40" w:name="_Toc25880"/>
      <w:bookmarkStart w:id="41" w:name="_Toc12720"/>
      <w:bookmarkStart w:id="42" w:name="_Toc5075"/>
      <w:bookmarkStart w:id="43" w:name="_Toc19441"/>
      <w:r>
        <w:rPr>
          <w:rFonts w:hint="eastAsia" w:hAnsi="Times New Roman" w:cs="Times New Roman"/>
          <w:highlight w:val="none"/>
        </w:rPr>
        <w:t>跨境电商零售出口</w:t>
      </w:r>
      <w:bookmarkEnd w:id="36"/>
      <w:bookmarkEnd w:id="37"/>
      <w:bookmarkEnd w:id="38"/>
      <w:bookmarkEnd w:id="39"/>
      <w:r>
        <w:rPr>
          <w:rFonts w:hint="eastAsia" w:cs="Times New Roman"/>
          <w:highlight w:val="none"/>
          <w:lang w:val="en-US" w:eastAsia="zh-CN"/>
        </w:rPr>
        <w:t xml:space="preserve">  cross-border e-commerce retail export</w:t>
      </w:r>
      <w:bookmarkEnd w:id="40"/>
      <w:bookmarkEnd w:id="41"/>
      <w:bookmarkEnd w:id="42"/>
      <w:bookmarkEnd w:id="43"/>
    </w:p>
    <w:p>
      <w:pPr>
        <w:ind w:firstLine="420" w:firstLineChars="200"/>
        <w:rPr>
          <w:rFonts w:hint="eastAsia"/>
          <w:lang w:val="en-US" w:eastAsia="zh-CN"/>
        </w:rPr>
      </w:pPr>
      <w:r>
        <w:rPr>
          <w:rFonts w:hint="eastAsia" w:asciiTheme="minorEastAsia" w:hAnsiTheme="minorEastAsia" w:cstheme="minorEastAsia"/>
          <w:szCs w:val="21"/>
          <w:highlight w:val="none"/>
          <w:lang w:val="en-US" w:eastAsia="zh-CN"/>
        </w:rPr>
        <w:t>跨境电子商务企业通过跨境电子商务交易平台实现零售出口商品交易，根据海关要求传输相关电子数据，并通过跨境电子商务方式申报出口，将商品送达境外消费者的模式。</w:t>
      </w:r>
      <w:bookmarkStart w:id="44" w:name="_Toc16241"/>
      <w:bookmarkEnd w:id="44"/>
      <w:bookmarkStart w:id="45" w:name="_Toc14185"/>
      <w:bookmarkEnd w:id="45"/>
      <w:bookmarkStart w:id="46" w:name="_Toc23026"/>
      <w:bookmarkEnd w:id="46"/>
      <w:bookmarkStart w:id="47" w:name="_Toc20193"/>
      <w:bookmarkEnd w:id="47"/>
      <w:bookmarkStart w:id="48" w:name="_Toc11864"/>
      <w:bookmarkEnd w:id="48"/>
      <w:bookmarkStart w:id="49" w:name="_Toc19593"/>
      <w:bookmarkEnd w:id="49"/>
      <w:bookmarkStart w:id="50" w:name="_Toc22118_WPSOffice_Level2"/>
      <w:bookmarkStart w:id="51" w:name="_Toc26875_WPSOffice_Level2"/>
      <w:bookmarkStart w:id="52" w:name="_Toc30507"/>
    </w:p>
    <w:p>
      <w:pPr>
        <w:pStyle w:val="24"/>
        <w:numPr>
          <w:ilvl w:val="0"/>
          <w:numId w:val="7"/>
        </w:numPr>
        <w:spacing w:before="312" w:after="312"/>
        <w:jc w:val="left"/>
        <w:outlineLvl w:val="0"/>
        <w:rPr>
          <w:rFonts w:hint="eastAsia" w:hAnsi="宋体" w:cs="宋体"/>
          <w:szCs w:val="21"/>
          <w:highlight w:val="none"/>
          <w:lang w:val="en-US" w:eastAsia="zh-CN"/>
        </w:rPr>
      </w:pPr>
      <w:r>
        <w:rPr>
          <w:rFonts w:hint="eastAsia" w:hAnsi="宋体" w:cs="宋体"/>
          <w:szCs w:val="21"/>
          <w:highlight w:val="none"/>
          <w:lang w:val="en-US" w:eastAsia="zh-CN"/>
        </w:rPr>
        <w:t>一般要求</w:t>
      </w:r>
    </w:p>
    <w:p>
      <w:pPr>
        <w:numPr>
          <w:ilvl w:val="1"/>
          <w:numId w:val="7"/>
        </w:numPr>
        <w:bidi w:val="0"/>
        <w:ind w:left="0" w:leftChars="0" w:firstLine="0" w:firstLineChars="0"/>
        <w:outlineLvl w:val="1"/>
        <w:rPr>
          <w:rFonts w:hint="default"/>
          <w:lang w:val="en-US" w:eastAsia="zh-CN"/>
        </w:rPr>
      </w:pPr>
      <w:r>
        <w:rPr>
          <w:rFonts w:hint="eastAsia"/>
          <w:lang w:val="en-US" w:eastAsia="zh-CN"/>
        </w:rPr>
        <w:t>对接</w:t>
      </w:r>
      <w:r>
        <w:rPr>
          <w:rFonts w:hint="default"/>
          <w:lang w:val="en-US" w:eastAsia="zh-CN"/>
        </w:rPr>
        <w:t>出口包裹出口退货相关数据，对出口货物进行审批放行。通过掌握退货物流企业申报的数据实时比对正向出口数据，验证退货的真实性，为海关退货业务的开展提供有效的信息化支撑，降低退货业务开展风险。</w:t>
      </w:r>
    </w:p>
    <w:p>
      <w:pPr>
        <w:numPr>
          <w:ilvl w:val="1"/>
          <w:numId w:val="7"/>
        </w:numPr>
        <w:bidi w:val="0"/>
        <w:ind w:left="0" w:leftChars="0" w:firstLine="0" w:firstLineChars="0"/>
        <w:outlineLvl w:val="1"/>
      </w:pPr>
      <w:r>
        <w:rPr>
          <w:rFonts w:hint="eastAsia"/>
          <w:lang w:val="en-US" w:eastAsia="zh-CN"/>
        </w:rPr>
        <w:t>平台收集退货物流企业、电商企业、报关企业、场站公司等在整个退货环节中产生的一些实时信息流，掌握包裹的轨迹，实物理货情况；以及设置一定的风险管理参数，对退货包裹数据、实物做较为清晰的掌控，以及通过相关数据做一定的统计分析，规避作业过程的监管风险。</w:t>
      </w:r>
    </w:p>
    <w:p>
      <w:pPr>
        <w:pStyle w:val="2"/>
      </w:pPr>
    </w:p>
    <w:p>
      <w:pPr>
        <w:pStyle w:val="24"/>
        <w:numPr>
          <w:ilvl w:val="0"/>
          <w:numId w:val="7"/>
        </w:numPr>
        <w:spacing w:before="312" w:after="312"/>
        <w:jc w:val="left"/>
        <w:outlineLvl w:val="0"/>
        <w:rPr>
          <w:rFonts w:hint="eastAsia"/>
          <w:b w:val="0"/>
          <w:bCs w:val="0"/>
          <w:color w:val="000000"/>
          <w:highlight w:val="none"/>
          <w:lang w:val="en-US" w:eastAsia="zh-CN"/>
        </w:rPr>
      </w:pPr>
      <w:bookmarkStart w:id="53" w:name="_Toc28695"/>
      <w:r>
        <w:rPr>
          <w:rFonts w:hint="eastAsia"/>
          <w:lang w:val="en-US" w:eastAsia="zh-CN"/>
        </w:rPr>
        <w:t>功能及接口要求</w:t>
      </w:r>
      <w:bookmarkEnd w:id="53"/>
    </w:p>
    <w:p>
      <w:pPr>
        <w:pStyle w:val="26"/>
        <w:numPr>
          <w:ilvl w:val="1"/>
          <w:numId w:val="7"/>
        </w:numPr>
        <w:spacing w:before="156" w:after="156"/>
        <w:outlineLvl w:val="1"/>
        <w:rPr>
          <w:rFonts w:hint="eastAsia" w:hAnsi="Times New Roman" w:cs="Times New Roman"/>
          <w:color w:val="000000"/>
          <w:highlight w:val="none"/>
          <w:lang w:val="en-US" w:eastAsia="zh-CN"/>
        </w:rPr>
      </w:pPr>
      <w:bookmarkStart w:id="54" w:name="_Toc14018"/>
      <w:r>
        <w:rPr>
          <w:rFonts w:hint="eastAsia" w:cs="Times New Roman"/>
          <w:color w:val="000000"/>
          <w:highlight w:val="none"/>
          <w:lang w:val="en-US" w:eastAsia="zh-CN"/>
        </w:rPr>
        <w:t>功能需求</w:t>
      </w:r>
      <w:bookmarkEnd w:id="54"/>
    </w:p>
    <w:p>
      <w:pPr>
        <w:pStyle w:val="26"/>
        <w:numPr>
          <w:ilvl w:val="2"/>
          <w:numId w:val="7"/>
        </w:numPr>
        <w:spacing w:before="156" w:after="156"/>
        <w:ind w:left="0" w:leftChars="0" w:firstLine="0" w:firstLineChars="0"/>
        <w:outlineLvl w:val="1"/>
        <w:rPr>
          <w:rFonts w:hint="eastAsia" w:hAnsi="Times New Roman" w:cs="Times New Roman"/>
          <w:color w:val="000000"/>
          <w:highlight w:val="none"/>
          <w:lang w:val="en-US" w:eastAsia="zh-CN"/>
        </w:rPr>
      </w:pPr>
      <w:bookmarkStart w:id="55" w:name="_Toc3194"/>
      <w:bookmarkStart w:id="56" w:name="_Toc26090"/>
      <w:r>
        <w:rPr>
          <w:rFonts w:hint="eastAsia" w:hAnsi="Times New Roman" w:cs="Times New Roman"/>
          <w:color w:val="000000"/>
          <w:highlight w:val="none"/>
          <w:lang w:val="en-US" w:eastAsia="zh-CN"/>
        </w:rPr>
        <w:t>业务用例说明</w:t>
      </w:r>
      <w:bookmarkEnd w:id="55"/>
      <w:bookmarkEnd w:id="56"/>
    </w:p>
    <w:p>
      <w:pPr>
        <w:bidi w:val="0"/>
        <w:ind w:firstLine="420" w:firstLineChars="200"/>
        <w:jc w:val="both"/>
        <w:rPr>
          <w:rFonts w:hint="eastAsia" w:ascii="宋体" w:hAnsi="宋体" w:eastAsia="宋体" w:cs="宋体"/>
          <w:lang w:val="en-US" w:eastAsia="zh-CN"/>
        </w:rPr>
      </w:pPr>
      <w:r>
        <w:rPr>
          <w:rFonts w:hint="eastAsia" w:ascii="宋体" w:hAnsi="宋体" w:eastAsia="宋体" w:cs="宋体"/>
          <w:lang w:val="en-US" w:eastAsia="zh-CN"/>
        </w:rPr>
        <w:t>业务用例说明见图2。</w:t>
      </w:r>
    </w:p>
    <w:p>
      <w:pPr>
        <w:bidi w:val="0"/>
        <w:jc w:val="center"/>
      </w:pPr>
      <w:r>
        <w:object>
          <v:shape id="_x0000_i1025" o:spt="75" type="#_x0000_t75" style="height:116.85pt;width:181.75pt;" o:ole="t" filled="f" o:preferrelative="t" stroked="f" coordsize="21600,21600">
            <v:path/>
            <v:fill on="f" focussize="0,0"/>
            <v:stroke on="f"/>
            <v:imagedata r:id="rId15" o:title=""/>
            <o:lock v:ext="edit" aspectratio="t"/>
            <w10:wrap type="none"/>
            <w10:anchorlock/>
          </v:shape>
          <o:OLEObject Type="Embed" ProgID="Visio.Drawing.15" ShapeID="_x0000_i1025" DrawAspect="Content" ObjectID="_1468075725" r:id="rId14">
            <o:LockedField>false</o:LockedField>
          </o:OLEObject>
        </w:object>
      </w:r>
      <w:r>
        <w:object>
          <v:shape id="_x0000_i1026" o:spt="75" type="#_x0000_t75" style="height:123.05pt;width:182.45pt;" o:ole="t" filled="f" o:preferrelative="t" stroked="f" coordsize="21600,21600">
            <v:path/>
            <v:fill on="f" focussize="0,0"/>
            <v:stroke on="f"/>
            <v:imagedata r:id="rId17" o:title=""/>
            <o:lock v:ext="edit" aspectratio="t"/>
            <w10:wrap type="none"/>
            <w10:anchorlock/>
          </v:shape>
          <o:OLEObject Type="Embed" ProgID="Visio.Drawing.15" ShapeID="_x0000_i1026" DrawAspect="Content" ObjectID="_1468075726" r:id="rId16">
            <o:LockedField>false</o:LockedField>
          </o:OLEObject>
        </w:object>
      </w:r>
    </w:p>
    <w:p>
      <w:pPr>
        <w:pStyle w:val="5"/>
        <w:numPr>
          <w:ilvl w:val="255"/>
          <w:numId w:val="0"/>
        </w:numPr>
        <w:tabs>
          <w:tab w:val="left" w:pos="0"/>
        </w:tabs>
        <w:spacing w:before="156" w:after="156"/>
        <w:rPr>
          <w:rFonts w:hint="eastAsia" w:ascii="黑体" w:hAnsi="黑体" w:cs="黑体"/>
          <w:bCs w:val="0"/>
          <w:szCs w:val="21"/>
          <w:lang w:val="en-US" w:eastAsia="zh-CN"/>
        </w:rPr>
      </w:pPr>
      <w:r>
        <w:rPr>
          <w:rFonts w:hint="eastAsia" w:ascii="黑体" w:hAnsi="黑体" w:cs="黑体"/>
          <w:bCs w:val="0"/>
          <w:szCs w:val="21"/>
          <w:lang w:val="en-US" w:eastAsia="zh-CN"/>
        </w:rPr>
        <w:t>图2  业务用例说明</w:t>
      </w:r>
    </w:p>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bookmarkStart w:id="57" w:name="_Toc16338"/>
      <w:bookmarkStart w:id="58" w:name="_Toc14376"/>
      <w:r>
        <w:rPr>
          <w:rFonts w:hint="eastAsia" w:hAnsi="Times New Roman" w:cs="Times New Roman"/>
          <w:color w:val="000000"/>
          <w:highlight w:val="none"/>
          <w:lang w:val="en-US" w:eastAsia="zh-CN"/>
        </w:rPr>
        <w:t>功能需求描述</w:t>
      </w:r>
      <w:bookmarkEnd w:id="57"/>
      <w:bookmarkEnd w:id="58"/>
    </w:p>
    <w:p>
      <w:pPr>
        <w:pStyle w:val="25"/>
        <w:rPr>
          <w:rFonts w:hint="eastAsia" w:hAnsi="Times New Roman" w:cs="Times New Roman"/>
          <w:color w:val="000000"/>
          <w:highlight w:val="none"/>
          <w:lang w:val="en-US" w:eastAsia="zh-CN"/>
        </w:rPr>
      </w:pPr>
      <w:r>
        <w:rPr>
          <w:rFonts w:hint="eastAsia" w:hAnsi="Times New Roman" w:cs="Times New Roman"/>
          <w:color w:val="000000"/>
          <w:highlight w:val="none"/>
          <w:lang w:val="en-US" w:eastAsia="zh-CN"/>
        </w:rPr>
        <w:t>功能需求见表1。</w:t>
      </w:r>
    </w:p>
    <w:p>
      <w:pPr>
        <w:pStyle w:val="5"/>
        <w:numPr>
          <w:ilvl w:val="255"/>
          <w:numId w:val="0"/>
        </w:numPr>
        <w:tabs>
          <w:tab w:val="left" w:pos="0"/>
        </w:tabs>
        <w:spacing w:before="156" w:after="156"/>
        <w:rPr>
          <w:rFonts w:hint="eastAsia" w:ascii="黑体" w:hAnsi="黑体" w:cs="黑体"/>
          <w:bCs w:val="0"/>
          <w:szCs w:val="21"/>
          <w:lang w:val="en-US" w:eastAsia="zh-CN"/>
        </w:rPr>
      </w:pPr>
      <w:r>
        <w:rPr>
          <w:rFonts w:hint="eastAsia" w:ascii="黑体" w:hAnsi="黑体" w:cs="黑体"/>
          <w:bCs w:val="0"/>
          <w:szCs w:val="21"/>
          <w:lang w:val="en-US" w:eastAsia="zh-CN"/>
        </w:rPr>
        <w:t>表1  功能需求描述表</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3032"/>
        <w:gridCol w:w="1031"/>
        <w:gridCol w:w="1207"/>
        <w:gridCol w:w="12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1" w:type="dxa"/>
            <w:tcBorders>
              <w:bottom w:val="single" w:color="auto" w:sz="12" w:space="0"/>
            </w:tcBorders>
            <w:shd w:val="clear" w:color="auto" w:fill="auto"/>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功能类别</w:t>
            </w:r>
          </w:p>
        </w:tc>
        <w:tc>
          <w:tcPr>
            <w:tcW w:w="3032" w:type="dxa"/>
            <w:tcBorders>
              <w:bottom w:val="single" w:color="auto" w:sz="12" w:space="0"/>
            </w:tcBorders>
            <w:shd w:val="clear" w:color="auto" w:fill="auto"/>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功能名称</w:t>
            </w:r>
          </w:p>
        </w:tc>
        <w:tc>
          <w:tcPr>
            <w:tcW w:w="1031" w:type="dxa"/>
            <w:tcBorders>
              <w:bottom w:val="single" w:color="auto" w:sz="12" w:space="0"/>
            </w:tcBorders>
            <w:shd w:val="clear" w:color="auto" w:fill="auto"/>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优先级</w:t>
            </w:r>
          </w:p>
        </w:tc>
        <w:tc>
          <w:tcPr>
            <w:tcW w:w="1207" w:type="dxa"/>
            <w:tcBorders>
              <w:bottom w:val="single" w:color="auto" w:sz="12" w:space="0"/>
            </w:tcBorders>
            <w:shd w:val="clear" w:color="auto" w:fill="auto"/>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功能描述</w:t>
            </w:r>
          </w:p>
        </w:tc>
        <w:tc>
          <w:tcPr>
            <w:tcW w:w="1280" w:type="dxa"/>
            <w:tcBorders>
              <w:bottom w:val="single" w:color="auto" w:sz="12" w:space="0"/>
            </w:tcBorders>
            <w:shd w:val="clear" w:color="auto" w:fill="auto"/>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开放对象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1" w:type="dxa"/>
            <w:vMerge w:val="restart"/>
            <w:tcBorders>
              <w:top w:val="single" w:color="auto" w:sz="12" w:space="0"/>
              <w:tl2br w:val="nil"/>
              <w:tr2bl w:val="nil"/>
            </w:tcBorders>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企业申报管理</w:t>
            </w:r>
          </w:p>
        </w:tc>
        <w:tc>
          <w:tcPr>
            <w:tcW w:w="3032" w:type="dxa"/>
            <w:tcBorders>
              <w:top w:val="single" w:color="auto" w:sz="12" w:space="0"/>
              <w:tl2br w:val="nil"/>
              <w:tr2bl w:val="nil"/>
            </w:tcBorders>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退货订单申报</w:t>
            </w:r>
          </w:p>
        </w:tc>
        <w:tc>
          <w:tcPr>
            <w:tcW w:w="1031" w:type="dxa"/>
            <w:tcBorders>
              <w:top w:val="single" w:color="auto" w:sz="12" w:space="0"/>
              <w:tl2br w:val="nil"/>
              <w:tr2bl w:val="nil"/>
            </w:tcBorders>
            <w:noWrap w:val="0"/>
            <w:vAlign w:val="top"/>
          </w:tcPr>
          <w:p>
            <w:pPr>
              <w:jc w:val="center"/>
              <w:rPr>
                <w:rFonts w:hint="eastAsia" w:ascii="宋体" w:hAnsi="宋体" w:eastAsia="宋体" w:cs="宋体"/>
                <w:sz w:val="18"/>
                <w:szCs w:val="18"/>
              </w:rPr>
            </w:pPr>
            <w:r>
              <w:rPr>
                <w:rFonts w:hint="eastAsia" w:ascii="宋体" w:hAnsi="宋体" w:eastAsia="宋体" w:cs="宋体"/>
                <w:sz w:val="18"/>
                <w:szCs w:val="18"/>
              </w:rPr>
              <w:t>高</w:t>
            </w:r>
          </w:p>
        </w:tc>
        <w:tc>
          <w:tcPr>
            <w:tcW w:w="1207" w:type="dxa"/>
            <w:tcBorders>
              <w:top w:val="single" w:color="auto" w:sz="12" w:space="0"/>
              <w:tl2br w:val="nil"/>
              <w:tr2bl w:val="nil"/>
            </w:tcBorders>
            <w:noWrap w:val="0"/>
            <w:vAlign w:val="center"/>
          </w:tcPr>
          <w:p>
            <w:pPr>
              <w:jc w:val="center"/>
              <w:rPr>
                <w:rFonts w:hint="eastAsia" w:ascii="宋体" w:hAnsi="宋体" w:eastAsia="宋体" w:cs="宋体"/>
                <w:sz w:val="18"/>
                <w:szCs w:val="18"/>
              </w:rPr>
            </w:pPr>
          </w:p>
        </w:tc>
        <w:tc>
          <w:tcPr>
            <w:tcW w:w="1280" w:type="dxa"/>
            <w:tcBorders>
              <w:top w:val="single" w:color="auto" w:sz="12" w:space="0"/>
              <w:tl2br w:val="nil"/>
              <w:tr2bl w:val="nil"/>
            </w:tcBorders>
            <w:noWrap w:val="0"/>
            <w:vAlign w:val="center"/>
          </w:tcPr>
          <w:p>
            <w:pPr>
              <w:jc w:val="cente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1" w:type="dxa"/>
            <w:vMerge w:val="continue"/>
            <w:tcBorders>
              <w:tl2br w:val="nil"/>
              <w:tr2bl w:val="nil"/>
            </w:tcBorders>
            <w:noWrap w:val="0"/>
            <w:vAlign w:val="center"/>
          </w:tcPr>
          <w:p>
            <w:pPr>
              <w:jc w:val="center"/>
              <w:rPr>
                <w:rFonts w:hint="eastAsia" w:ascii="宋体" w:hAnsi="宋体" w:eastAsia="宋体" w:cs="宋体"/>
                <w:sz w:val="18"/>
                <w:szCs w:val="18"/>
              </w:rPr>
            </w:pPr>
          </w:p>
        </w:tc>
        <w:tc>
          <w:tcPr>
            <w:tcW w:w="3032" w:type="dxa"/>
            <w:tcBorders>
              <w:tl2br w:val="nil"/>
              <w:tr2bl w:val="nil"/>
            </w:tcBorders>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退货物流单申报</w:t>
            </w:r>
          </w:p>
        </w:tc>
        <w:tc>
          <w:tcPr>
            <w:tcW w:w="1031" w:type="dxa"/>
            <w:tcBorders>
              <w:tl2br w:val="nil"/>
              <w:tr2bl w:val="nil"/>
            </w:tcBorders>
            <w:noWrap w:val="0"/>
            <w:vAlign w:val="top"/>
          </w:tcPr>
          <w:p>
            <w:pPr>
              <w:jc w:val="center"/>
              <w:rPr>
                <w:rFonts w:hint="eastAsia" w:ascii="宋体" w:hAnsi="宋体" w:eastAsia="宋体" w:cs="宋体"/>
                <w:sz w:val="18"/>
                <w:szCs w:val="18"/>
              </w:rPr>
            </w:pPr>
            <w:r>
              <w:rPr>
                <w:rFonts w:hint="eastAsia" w:ascii="宋体" w:hAnsi="宋体" w:eastAsia="宋体" w:cs="宋体"/>
                <w:sz w:val="18"/>
                <w:szCs w:val="18"/>
              </w:rPr>
              <w:t>高</w:t>
            </w:r>
          </w:p>
        </w:tc>
        <w:tc>
          <w:tcPr>
            <w:tcW w:w="1207" w:type="dxa"/>
            <w:tcBorders>
              <w:tl2br w:val="nil"/>
              <w:tr2bl w:val="nil"/>
            </w:tcBorders>
            <w:noWrap w:val="0"/>
            <w:vAlign w:val="center"/>
          </w:tcPr>
          <w:p>
            <w:pPr>
              <w:jc w:val="center"/>
              <w:rPr>
                <w:rFonts w:hint="eastAsia" w:ascii="宋体" w:hAnsi="宋体" w:eastAsia="宋体" w:cs="宋体"/>
                <w:sz w:val="18"/>
                <w:szCs w:val="18"/>
              </w:rPr>
            </w:pPr>
          </w:p>
        </w:tc>
        <w:tc>
          <w:tcPr>
            <w:tcW w:w="1280" w:type="dxa"/>
            <w:tcBorders>
              <w:tl2br w:val="nil"/>
              <w:tr2bl w:val="nil"/>
            </w:tcBorders>
            <w:noWrap w:val="0"/>
            <w:vAlign w:val="center"/>
          </w:tcPr>
          <w:p>
            <w:pPr>
              <w:jc w:val="cente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1" w:type="dxa"/>
            <w:vMerge w:val="continue"/>
            <w:tcBorders>
              <w:tl2br w:val="nil"/>
              <w:tr2bl w:val="nil"/>
            </w:tcBorders>
            <w:noWrap w:val="0"/>
            <w:vAlign w:val="center"/>
          </w:tcPr>
          <w:p>
            <w:pPr>
              <w:jc w:val="center"/>
              <w:rPr>
                <w:rFonts w:hint="eastAsia" w:ascii="宋体" w:hAnsi="宋体" w:eastAsia="宋体" w:cs="宋体"/>
                <w:sz w:val="18"/>
                <w:szCs w:val="18"/>
              </w:rPr>
            </w:pPr>
          </w:p>
        </w:tc>
        <w:tc>
          <w:tcPr>
            <w:tcW w:w="3032" w:type="dxa"/>
            <w:tcBorders>
              <w:tl2br w:val="nil"/>
              <w:tr2bl w:val="nil"/>
            </w:tcBorders>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退运理货信息申报接收</w:t>
            </w:r>
          </w:p>
        </w:tc>
        <w:tc>
          <w:tcPr>
            <w:tcW w:w="1031" w:type="dxa"/>
            <w:tcBorders>
              <w:tl2br w:val="nil"/>
              <w:tr2bl w:val="nil"/>
            </w:tcBorders>
            <w:noWrap w:val="0"/>
            <w:vAlign w:val="top"/>
          </w:tcPr>
          <w:p>
            <w:pPr>
              <w:jc w:val="center"/>
              <w:rPr>
                <w:rFonts w:hint="eastAsia" w:ascii="宋体" w:hAnsi="宋体" w:eastAsia="宋体" w:cs="宋体"/>
                <w:sz w:val="18"/>
                <w:szCs w:val="18"/>
              </w:rPr>
            </w:pPr>
            <w:r>
              <w:rPr>
                <w:rFonts w:hint="eastAsia" w:ascii="宋体" w:hAnsi="宋体" w:eastAsia="宋体" w:cs="宋体"/>
                <w:sz w:val="18"/>
                <w:szCs w:val="18"/>
              </w:rPr>
              <w:t>高</w:t>
            </w:r>
          </w:p>
        </w:tc>
        <w:tc>
          <w:tcPr>
            <w:tcW w:w="1207" w:type="dxa"/>
            <w:tcBorders>
              <w:tl2br w:val="nil"/>
              <w:tr2bl w:val="nil"/>
            </w:tcBorders>
            <w:noWrap w:val="0"/>
            <w:vAlign w:val="center"/>
          </w:tcPr>
          <w:p>
            <w:pPr>
              <w:jc w:val="center"/>
              <w:rPr>
                <w:rFonts w:hint="eastAsia" w:ascii="宋体" w:hAnsi="宋体" w:eastAsia="宋体" w:cs="宋体"/>
                <w:sz w:val="18"/>
                <w:szCs w:val="18"/>
              </w:rPr>
            </w:pPr>
          </w:p>
        </w:tc>
        <w:tc>
          <w:tcPr>
            <w:tcW w:w="1280" w:type="dxa"/>
            <w:tcBorders>
              <w:tl2br w:val="nil"/>
              <w:tr2bl w:val="nil"/>
            </w:tcBorders>
            <w:noWrap w:val="0"/>
            <w:vAlign w:val="center"/>
          </w:tcPr>
          <w:p>
            <w:pPr>
              <w:jc w:val="cente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1" w:type="dxa"/>
            <w:vMerge w:val="continue"/>
            <w:tcBorders>
              <w:tl2br w:val="nil"/>
              <w:tr2bl w:val="nil"/>
            </w:tcBorders>
            <w:noWrap w:val="0"/>
            <w:vAlign w:val="center"/>
          </w:tcPr>
          <w:p>
            <w:pPr>
              <w:jc w:val="center"/>
              <w:rPr>
                <w:rFonts w:hint="eastAsia" w:ascii="宋体" w:hAnsi="宋体" w:eastAsia="宋体" w:cs="宋体"/>
                <w:sz w:val="18"/>
                <w:szCs w:val="18"/>
              </w:rPr>
            </w:pPr>
          </w:p>
        </w:tc>
        <w:tc>
          <w:tcPr>
            <w:tcW w:w="3032" w:type="dxa"/>
            <w:tcBorders>
              <w:tl2br w:val="nil"/>
              <w:tr2bl w:val="nil"/>
            </w:tcBorders>
            <w:noWrap w:val="0"/>
            <w:vAlign w:val="bottom"/>
          </w:tcPr>
          <w:p>
            <w:pPr>
              <w:jc w:val="center"/>
              <w:rPr>
                <w:rFonts w:hint="eastAsia" w:ascii="宋体" w:hAnsi="宋体" w:eastAsia="宋体" w:cs="宋体"/>
                <w:sz w:val="18"/>
                <w:szCs w:val="18"/>
              </w:rPr>
            </w:pPr>
            <w:r>
              <w:rPr>
                <w:rFonts w:hint="eastAsia" w:ascii="宋体" w:hAnsi="宋体" w:eastAsia="宋体" w:cs="宋体"/>
                <w:sz w:val="18"/>
                <w:szCs w:val="18"/>
              </w:rPr>
              <w:t>三单比对控制，自动审单</w:t>
            </w:r>
          </w:p>
        </w:tc>
        <w:tc>
          <w:tcPr>
            <w:tcW w:w="1031" w:type="dxa"/>
            <w:tcBorders>
              <w:tl2br w:val="nil"/>
              <w:tr2bl w:val="nil"/>
            </w:tcBorders>
            <w:noWrap w:val="0"/>
            <w:vAlign w:val="top"/>
          </w:tcPr>
          <w:p>
            <w:pPr>
              <w:jc w:val="center"/>
              <w:rPr>
                <w:rFonts w:hint="eastAsia" w:ascii="宋体" w:hAnsi="宋体" w:eastAsia="宋体" w:cs="宋体"/>
                <w:sz w:val="18"/>
                <w:szCs w:val="18"/>
              </w:rPr>
            </w:pPr>
            <w:r>
              <w:rPr>
                <w:rFonts w:hint="eastAsia" w:ascii="宋体" w:hAnsi="宋体" w:eastAsia="宋体" w:cs="宋体"/>
                <w:sz w:val="18"/>
                <w:szCs w:val="18"/>
              </w:rPr>
              <w:t>高</w:t>
            </w:r>
          </w:p>
        </w:tc>
        <w:tc>
          <w:tcPr>
            <w:tcW w:w="1207" w:type="dxa"/>
            <w:tcBorders>
              <w:tl2br w:val="nil"/>
              <w:tr2bl w:val="nil"/>
            </w:tcBorders>
            <w:noWrap w:val="0"/>
            <w:vAlign w:val="center"/>
          </w:tcPr>
          <w:p>
            <w:pPr>
              <w:jc w:val="center"/>
              <w:rPr>
                <w:rFonts w:hint="eastAsia" w:ascii="宋体" w:hAnsi="宋体" w:eastAsia="宋体" w:cs="宋体"/>
                <w:sz w:val="18"/>
                <w:szCs w:val="18"/>
              </w:rPr>
            </w:pPr>
          </w:p>
        </w:tc>
        <w:tc>
          <w:tcPr>
            <w:tcW w:w="1280" w:type="dxa"/>
            <w:tcBorders>
              <w:tl2br w:val="nil"/>
              <w:tr2bl w:val="nil"/>
            </w:tcBorders>
            <w:noWrap w:val="0"/>
            <w:vAlign w:val="center"/>
          </w:tcPr>
          <w:p>
            <w:pPr>
              <w:jc w:val="cente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1" w:type="dxa"/>
            <w:vMerge w:val="continue"/>
            <w:tcBorders>
              <w:tl2br w:val="nil"/>
              <w:tr2bl w:val="nil"/>
            </w:tcBorders>
            <w:noWrap w:val="0"/>
            <w:vAlign w:val="center"/>
          </w:tcPr>
          <w:p>
            <w:pPr>
              <w:jc w:val="center"/>
              <w:rPr>
                <w:rFonts w:hint="eastAsia" w:ascii="宋体" w:hAnsi="宋体" w:eastAsia="宋体" w:cs="宋体"/>
                <w:sz w:val="18"/>
                <w:szCs w:val="18"/>
              </w:rPr>
            </w:pPr>
          </w:p>
        </w:tc>
        <w:tc>
          <w:tcPr>
            <w:tcW w:w="3032" w:type="dxa"/>
            <w:tcBorders>
              <w:tl2br w:val="nil"/>
              <w:tr2bl w:val="nil"/>
            </w:tcBorders>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退运放行妥投、总署退单接收</w:t>
            </w:r>
          </w:p>
        </w:tc>
        <w:tc>
          <w:tcPr>
            <w:tcW w:w="1031" w:type="dxa"/>
            <w:tcBorders>
              <w:tl2br w:val="nil"/>
              <w:tr2bl w:val="nil"/>
            </w:tcBorders>
            <w:noWrap w:val="0"/>
            <w:vAlign w:val="top"/>
          </w:tcPr>
          <w:p>
            <w:pPr>
              <w:jc w:val="center"/>
              <w:rPr>
                <w:rFonts w:hint="eastAsia" w:ascii="宋体" w:hAnsi="宋体" w:eastAsia="宋体" w:cs="宋体"/>
                <w:sz w:val="18"/>
                <w:szCs w:val="18"/>
              </w:rPr>
            </w:pPr>
            <w:r>
              <w:rPr>
                <w:rFonts w:hint="eastAsia" w:ascii="宋体" w:hAnsi="宋体" w:eastAsia="宋体" w:cs="宋体"/>
                <w:sz w:val="18"/>
                <w:szCs w:val="18"/>
              </w:rPr>
              <w:t>高</w:t>
            </w:r>
          </w:p>
        </w:tc>
        <w:tc>
          <w:tcPr>
            <w:tcW w:w="1207" w:type="dxa"/>
            <w:tcBorders>
              <w:tl2br w:val="nil"/>
              <w:tr2bl w:val="nil"/>
            </w:tcBorders>
            <w:noWrap w:val="0"/>
            <w:vAlign w:val="center"/>
          </w:tcPr>
          <w:p>
            <w:pPr>
              <w:jc w:val="center"/>
              <w:rPr>
                <w:rFonts w:hint="eastAsia" w:ascii="宋体" w:hAnsi="宋体" w:eastAsia="宋体" w:cs="宋体"/>
                <w:sz w:val="18"/>
                <w:szCs w:val="18"/>
              </w:rPr>
            </w:pPr>
          </w:p>
        </w:tc>
        <w:tc>
          <w:tcPr>
            <w:tcW w:w="1280" w:type="dxa"/>
            <w:tcBorders>
              <w:tl2br w:val="nil"/>
              <w:tr2bl w:val="nil"/>
            </w:tcBorders>
            <w:noWrap w:val="0"/>
            <w:vAlign w:val="center"/>
          </w:tcPr>
          <w:p>
            <w:pPr>
              <w:jc w:val="cente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1" w:type="dxa"/>
            <w:vMerge w:val="continue"/>
            <w:tcBorders>
              <w:tl2br w:val="nil"/>
              <w:tr2bl w:val="nil"/>
            </w:tcBorders>
            <w:noWrap w:val="0"/>
            <w:vAlign w:val="center"/>
          </w:tcPr>
          <w:p>
            <w:pPr>
              <w:jc w:val="center"/>
              <w:rPr>
                <w:rFonts w:hint="eastAsia" w:ascii="宋体" w:hAnsi="宋体" w:eastAsia="宋体" w:cs="宋体"/>
                <w:sz w:val="18"/>
                <w:szCs w:val="18"/>
              </w:rPr>
            </w:pPr>
          </w:p>
        </w:tc>
        <w:tc>
          <w:tcPr>
            <w:tcW w:w="3032" w:type="dxa"/>
            <w:tcBorders>
              <w:tl2br w:val="nil"/>
              <w:tr2bl w:val="nil"/>
            </w:tcBorders>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企业回执发送</w:t>
            </w:r>
          </w:p>
        </w:tc>
        <w:tc>
          <w:tcPr>
            <w:tcW w:w="1031" w:type="dxa"/>
            <w:tcBorders>
              <w:tl2br w:val="nil"/>
              <w:tr2bl w:val="nil"/>
            </w:tcBorders>
            <w:noWrap w:val="0"/>
            <w:vAlign w:val="top"/>
          </w:tcPr>
          <w:p>
            <w:pPr>
              <w:jc w:val="center"/>
              <w:rPr>
                <w:rFonts w:hint="eastAsia" w:ascii="宋体" w:hAnsi="宋体" w:eastAsia="宋体" w:cs="宋体"/>
                <w:sz w:val="18"/>
                <w:szCs w:val="18"/>
              </w:rPr>
            </w:pPr>
            <w:r>
              <w:rPr>
                <w:rFonts w:hint="eastAsia" w:ascii="宋体" w:hAnsi="宋体" w:eastAsia="宋体" w:cs="宋体"/>
                <w:sz w:val="18"/>
                <w:szCs w:val="18"/>
              </w:rPr>
              <w:t>高</w:t>
            </w:r>
          </w:p>
        </w:tc>
        <w:tc>
          <w:tcPr>
            <w:tcW w:w="1207" w:type="dxa"/>
            <w:tcBorders>
              <w:tl2br w:val="nil"/>
              <w:tr2bl w:val="nil"/>
            </w:tcBorders>
            <w:noWrap w:val="0"/>
            <w:vAlign w:val="center"/>
          </w:tcPr>
          <w:p>
            <w:pPr>
              <w:jc w:val="center"/>
              <w:rPr>
                <w:rFonts w:hint="eastAsia" w:ascii="宋体" w:hAnsi="宋体" w:eastAsia="宋体" w:cs="宋体"/>
                <w:sz w:val="18"/>
                <w:szCs w:val="18"/>
              </w:rPr>
            </w:pPr>
          </w:p>
        </w:tc>
        <w:tc>
          <w:tcPr>
            <w:tcW w:w="1280" w:type="dxa"/>
            <w:tcBorders>
              <w:tl2br w:val="nil"/>
              <w:tr2bl w:val="nil"/>
            </w:tcBorders>
            <w:noWrap w:val="0"/>
            <w:vAlign w:val="center"/>
          </w:tcPr>
          <w:p>
            <w:pPr>
              <w:jc w:val="cente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1" w:type="dxa"/>
            <w:vMerge w:val="restart"/>
            <w:tcBorders>
              <w:tl2br w:val="nil"/>
              <w:tr2bl w:val="nil"/>
            </w:tcBorders>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海关管理</w:t>
            </w:r>
          </w:p>
        </w:tc>
        <w:tc>
          <w:tcPr>
            <w:tcW w:w="3032" w:type="dxa"/>
            <w:tcBorders>
              <w:tl2br w:val="nil"/>
              <w:tr2bl w:val="nil"/>
            </w:tcBorders>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海关人工处置</w:t>
            </w:r>
          </w:p>
        </w:tc>
        <w:tc>
          <w:tcPr>
            <w:tcW w:w="1031" w:type="dxa"/>
            <w:tcBorders>
              <w:tl2br w:val="nil"/>
              <w:tr2bl w:val="nil"/>
            </w:tcBorders>
            <w:noWrap w:val="0"/>
            <w:vAlign w:val="top"/>
          </w:tcPr>
          <w:p>
            <w:pPr>
              <w:jc w:val="center"/>
              <w:rPr>
                <w:rFonts w:hint="eastAsia" w:ascii="宋体" w:hAnsi="宋体" w:eastAsia="宋体" w:cs="宋体"/>
                <w:sz w:val="18"/>
                <w:szCs w:val="18"/>
              </w:rPr>
            </w:pPr>
            <w:r>
              <w:rPr>
                <w:rFonts w:hint="eastAsia" w:ascii="宋体" w:hAnsi="宋体" w:eastAsia="宋体" w:cs="宋体"/>
                <w:sz w:val="18"/>
                <w:szCs w:val="18"/>
              </w:rPr>
              <w:t>高</w:t>
            </w:r>
          </w:p>
        </w:tc>
        <w:tc>
          <w:tcPr>
            <w:tcW w:w="1207" w:type="dxa"/>
            <w:tcBorders>
              <w:tl2br w:val="nil"/>
              <w:tr2bl w:val="nil"/>
            </w:tcBorders>
            <w:noWrap w:val="0"/>
            <w:vAlign w:val="center"/>
          </w:tcPr>
          <w:p>
            <w:pPr>
              <w:jc w:val="center"/>
              <w:rPr>
                <w:rFonts w:hint="eastAsia" w:ascii="宋体" w:hAnsi="宋体" w:eastAsia="宋体" w:cs="宋体"/>
                <w:sz w:val="18"/>
                <w:szCs w:val="18"/>
              </w:rPr>
            </w:pPr>
          </w:p>
        </w:tc>
        <w:tc>
          <w:tcPr>
            <w:tcW w:w="1280" w:type="dxa"/>
            <w:tcBorders>
              <w:tl2br w:val="nil"/>
              <w:tr2bl w:val="nil"/>
            </w:tcBorders>
            <w:noWrap w:val="0"/>
            <w:vAlign w:val="center"/>
          </w:tcPr>
          <w:p>
            <w:pPr>
              <w:jc w:val="cente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1" w:type="dxa"/>
            <w:vMerge w:val="continue"/>
            <w:tcBorders>
              <w:tl2br w:val="nil"/>
              <w:tr2bl w:val="nil"/>
            </w:tcBorders>
            <w:noWrap w:val="0"/>
            <w:vAlign w:val="center"/>
          </w:tcPr>
          <w:p>
            <w:pPr>
              <w:jc w:val="center"/>
              <w:rPr>
                <w:rFonts w:hint="eastAsia" w:ascii="宋体" w:hAnsi="宋体" w:eastAsia="宋体" w:cs="宋体"/>
                <w:sz w:val="18"/>
                <w:szCs w:val="18"/>
              </w:rPr>
            </w:pPr>
          </w:p>
        </w:tc>
        <w:tc>
          <w:tcPr>
            <w:tcW w:w="3032" w:type="dxa"/>
            <w:tcBorders>
              <w:tl2br w:val="nil"/>
              <w:tr2bl w:val="nil"/>
            </w:tcBorders>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风控参数管理</w:t>
            </w:r>
          </w:p>
        </w:tc>
        <w:tc>
          <w:tcPr>
            <w:tcW w:w="1031" w:type="dxa"/>
            <w:tcBorders>
              <w:tl2br w:val="nil"/>
              <w:tr2bl w:val="nil"/>
            </w:tcBorders>
            <w:noWrap w:val="0"/>
            <w:vAlign w:val="top"/>
          </w:tcPr>
          <w:p>
            <w:pPr>
              <w:jc w:val="center"/>
              <w:rPr>
                <w:rFonts w:hint="eastAsia" w:ascii="宋体" w:hAnsi="宋体" w:eastAsia="宋体" w:cs="宋体"/>
                <w:sz w:val="18"/>
                <w:szCs w:val="18"/>
              </w:rPr>
            </w:pPr>
            <w:r>
              <w:rPr>
                <w:rFonts w:hint="eastAsia" w:ascii="宋体" w:hAnsi="宋体" w:eastAsia="宋体" w:cs="宋体"/>
                <w:sz w:val="18"/>
                <w:szCs w:val="18"/>
              </w:rPr>
              <w:t>高</w:t>
            </w:r>
          </w:p>
        </w:tc>
        <w:tc>
          <w:tcPr>
            <w:tcW w:w="1207" w:type="dxa"/>
            <w:tcBorders>
              <w:tl2br w:val="nil"/>
              <w:tr2bl w:val="nil"/>
            </w:tcBorders>
            <w:noWrap w:val="0"/>
            <w:vAlign w:val="center"/>
          </w:tcPr>
          <w:p>
            <w:pPr>
              <w:jc w:val="center"/>
              <w:rPr>
                <w:rFonts w:hint="eastAsia" w:ascii="宋体" w:hAnsi="宋体" w:eastAsia="宋体" w:cs="宋体"/>
                <w:sz w:val="18"/>
                <w:szCs w:val="18"/>
              </w:rPr>
            </w:pPr>
          </w:p>
        </w:tc>
        <w:tc>
          <w:tcPr>
            <w:tcW w:w="1280" w:type="dxa"/>
            <w:tcBorders>
              <w:tl2br w:val="nil"/>
              <w:tr2bl w:val="nil"/>
            </w:tcBorders>
            <w:noWrap w:val="0"/>
            <w:vAlign w:val="center"/>
          </w:tcPr>
          <w:p>
            <w:pPr>
              <w:jc w:val="cente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1" w:type="dxa"/>
            <w:vMerge w:val="restart"/>
            <w:tcBorders>
              <w:tl2br w:val="nil"/>
              <w:tr2bl w:val="nil"/>
            </w:tcBorders>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海关、企业端查询管理</w:t>
            </w:r>
          </w:p>
        </w:tc>
        <w:tc>
          <w:tcPr>
            <w:tcW w:w="3032" w:type="dxa"/>
            <w:tcBorders>
              <w:tl2br w:val="nil"/>
              <w:tr2bl w:val="nil"/>
            </w:tcBorders>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退运订单管理</w:t>
            </w:r>
          </w:p>
        </w:tc>
        <w:tc>
          <w:tcPr>
            <w:tcW w:w="1031" w:type="dxa"/>
            <w:tcBorders>
              <w:tl2br w:val="nil"/>
              <w:tr2bl w:val="nil"/>
            </w:tcBorders>
            <w:noWrap w:val="0"/>
            <w:vAlign w:val="top"/>
          </w:tcPr>
          <w:p>
            <w:pPr>
              <w:jc w:val="center"/>
              <w:rPr>
                <w:rFonts w:hint="eastAsia" w:ascii="宋体" w:hAnsi="宋体" w:eastAsia="宋体" w:cs="宋体"/>
                <w:sz w:val="18"/>
                <w:szCs w:val="18"/>
              </w:rPr>
            </w:pPr>
            <w:r>
              <w:rPr>
                <w:rFonts w:hint="eastAsia" w:ascii="宋体" w:hAnsi="宋体" w:eastAsia="宋体" w:cs="宋体"/>
                <w:sz w:val="18"/>
                <w:szCs w:val="18"/>
              </w:rPr>
              <w:t>低</w:t>
            </w:r>
          </w:p>
        </w:tc>
        <w:tc>
          <w:tcPr>
            <w:tcW w:w="1207" w:type="dxa"/>
            <w:tcBorders>
              <w:tl2br w:val="nil"/>
              <w:tr2bl w:val="nil"/>
            </w:tcBorders>
            <w:noWrap w:val="0"/>
            <w:vAlign w:val="center"/>
          </w:tcPr>
          <w:p>
            <w:pPr>
              <w:jc w:val="center"/>
              <w:rPr>
                <w:rFonts w:hint="eastAsia" w:ascii="宋体" w:hAnsi="宋体" w:eastAsia="宋体" w:cs="宋体"/>
                <w:sz w:val="18"/>
                <w:szCs w:val="18"/>
              </w:rPr>
            </w:pPr>
          </w:p>
        </w:tc>
        <w:tc>
          <w:tcPr>
            <w:tcW w:w="1280" w:type="dxa"/>
            <w:tcBorders>
              <w:tl2br w:val="nil"/>
              <w:tr2bl w:val="nil"/>
            </w:tcBorders>
            <w:noWrap w:val="0"/>
            <w:vAlign w:val="center"/>
          </w:tcPr>
          <w:p>
            <w:pPr>
              <w:jc w:val="cente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1" w:type="dxa"/>
            <w:vMerge w:val="continue"/>
            <w:tcBorders>
              <w:tl2br w:val="nil"/>
              <w:tr2bl w:val="nil"/>
            </w:tcBorders>
            <w:noWrap w:val="0"/>
            <w:vAlign w:val="center"/>
          </w:tcPr>
          <w:p>
            <w:pPr>
              <w:jc w:val="center"/>
              <w:rPr>
                <w:rFonts w:hint="eastAsia" w:ascii="宋体" w:hAnsi="宋体" w:eastAsia="宋体" w:cs="宋体"/>
                <w:sz w:val="18"/>
                <w:szCs w:val="18"/>
              </w:rPr>
            </w:pPr>
          </w:p>
        </w:tc>
        <w:tc>
          <w:tcPr>
            <w:tcW w:w="3032" w:type="dxa"/>
            <w:tcBorders>
              <w:tl2br w:val="nil"/>
              <w:tr2bl w:val="nil"/>
            </w:tcBorders>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退运物流单管理</w:t>
            </w:r>
          </w:p>
        </w:tc>
        <w:tc>
          <w:tcPr>
            <w:tcW w:w="1031" w:type="dxa"/>
            <w:tcBorders>
              <w:tl2br w:val="nil"/>
              <w:tr2bl w:val="nil"/>
            </w:tcBorders>
            <w:noWrap w:val="0"/>
            <w:vAlign w:val="top"/>
          </w:tcPr>
          <w:p>
            <w:pPr>
              <w:jc w:val="center"/>
              <w:rPr>
                <w:rFonts w:hint="eastAsia" w:ascii="宋体" w:hAnsi="宋体" w:eastAsia="宋体" w:cs="宋体"/>
                <w:sz w:val="18"/>
                <w:szCs w:val="18"/>
              </w:rPr>
            </w:pPr>
            <w:r>
              <w:rPr>
                <w:rFonts w:hint="eastAsia" w:ascii="宋体" w:hAnsi="宋体" w:eastAsia="宋体" w:cs="宋体"/>
                <w:sz w:val="18"/>
                <w:szCs w:val="18"/>
              </w:rPr>
              <w:t>低</w:t>
            </w:r>
          </w:p>
        </w:tc>
        <w:tc>
          <w:tcPr>
            <w:tcW w:w="1207" w:type="dxa"/>
            <w:tcBorders>
              <w:tl2br w:val="nil"/>
              <w:tr2bl w:val="nil"/>
            </w:tcBorders>
            <w:noWrap w:val="0"/>
            <w:vAlign w:val="center"/>
          </w:tcPr>
          <w:p>
            <w:pPr>
              <w:jc w:val="center"/>
              <w:rPr>
                <w:rFonts w:hint="eastAsia" w:ascii="宋体" w:hAnsi="宋体" w:eastAsia="宋体" w:cs="宋体"/>
                <w:sz w:val="18"/>
                <w:szCs w:val="18"/>
              </w:rPr>
            </w:pPr>
          </w:p>
        </w:tc>
        <w:tc>
          <w:tcPr>
            <w:tcW w:w="1280" w:type="dxa"/>
            <w:tcBorders>
              <w:tl2br w:val="nil"/>
              <w:tr2bl w:val="nil"/>
            </w:tcBorders>
            <w:noWrap w:val="0"/>
            <w:vAlign w:val="center"/>
          </w:tcPr>
          <w:p>
            <w:pPr>
              <w:jc w:val="cente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1" w:type="dxa"/>
            <w:vMerge w:val="continue"/>
            <w:tcBorders>
              <w:tl2br w:val="nil"/>
              <w:tr2bl w:val="nil"/>
            </w:tcBorders>
            <w:noWrap w:val="0"/>
            <w:vAlign w:val="center"/>
          </w:tcPr>
          <w:p>
            <w:pPr>
              <w:jc w:val="center"/>
              <w:rPr>
                <w:rFonts w:hint="eastAsia" w:ascii="宋体" w:hAnsi="宋体" w:eastAsia="宋体" w:cs="宋体"/>
                <w:sz w:val="18"/>
                <w:szCs w:val="18"/>
              </w:rPr>
            </w:pPr>
          </w:p>
        </w:tc>
        <w:tc>
          <w:tcPr>
            <w:tcW w:w="3032" w:type="dxa"/>
            <w:tcBorders>
              <w:tl2br w:val="nil"/>
              <w:tr2bl w:val="nil"/>
            </w:tcBorders>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退运理货单管理</w:t>
            </w:r>
          </w:p>
        </w:tc>
        <w:tc>
          <w:tcPr>
            <w:tcW w:w="1031" w:type="dxa"/>
            <w:tcBorders>
              <w:tl2br w:val="nil"/>
              <w:tr2bl w:val="nil"/>
            </w:tcBorders>
            <w:noWrap w:val="0"/>
            <w:vAlign w:val="top"/>
          </w:tcPr>
          <w:p>
            <w:pPr>
              <w:jc w:val="center"/>
              <w:rPr>
                <w:rFonts w:hint="eastAsia" w:ascii="宋体" w:hAnsi="宋体" w:eastAsia="宋体" w:cs="宋体"/>
                <w:sz w:val="18"/>
                <w:szCs w:val="18"/>
              </w:rPr>
            </w:pPr>
            <w:r>
              <w:rPr>
                <w:rFonts w:hint="eastAsia" w:ascii="宋体" w:hAnsi="宋体" w:eastAsia="宋体" w:cs="宋体"/>
                <w:sz w:val="18"/>
                <w:szCs w:val="18"/>
              </w:rPr>
              <w:t>低</w:t>
            </w:r>
          </w:p>
        </w:tc>
        <w:tc>
          <w:tcPr>
            <w:tcW w:w="1207" w:type="dxa"/>
            <w:tcBorders>
              <w:tl2br w:val="nil"/>
              <w:tr2bl w:val="nil"/>
            </w:tcBorders>
            <w:noWrap w:val="0"/>
            <w:vAlign w:val="center"/>
          </w:tcPr>
          <w:p>
            <w:pPr>
              <w:jc w:val="center"/>
              <w:rPr>
                <w:rFonts w:hint="eastAsia" w:ascii="宋体" w:hAnsi="宋体" w:eastAsia="宋体" w:cs="宋体"/>
                <w:sz w:val="18"/>
                <w:szCs w:val="18"/>
              </w:rPr>
            </w:pPr>
          </w:p>
        </w:tc>
        <w:tc>
          <w:tcPr>
            <w:tcW w:w="1280" w:type="dxa"/>
            <w:tcBorders>
              <w:tl2br w:val="nil"/>
              <w:tr2bl w:val="nil"/>
            </w:tcBorders>
            <w:noWrap w:val="0"/>
            <w:vAlign w:val="center"/>
          </w:tcPr>
          <w:p>
            <w:pPr>
              <w:jc w:val="cente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1" w:type="dxa"/>
            <w:vMerge w:val="restart"/>
            <w:tcBorders>
              <w:tl2br w:val="nil"/>
              <w:tr2bl w:val="nil"/>
            </w:tcBorders>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查询统计管理</w:t>
            </w:r>
          </w:p>
        </w:tc>
        <w:tc>
          <w:tcPr>
            <w:tcW w:w="3032" w:type="dxa"/>
            <w:tcBorders>
              <w:tl2br w:val="nil"/>
              <w:tr2bl w:val="nil"/>
            </w:tcBorders>
            <w:noWrap w:val="0"/>
            <w:vAlign w:val="bottom"/>
          </w:tcPr>
          <w:p>
            <w:pPr>
              <w:jc w:val="center"/>
              <w:rPr>
                <w:rFonts w:hint="eastAsia" w:ascii="宋体" w:hAnsi="宋体" w:eastAsia="宋体" w:cs="宋体"/>
                <w:sz w:val="18"/>
                <w:szCs w:val="18"/>
              </w:rPr>
            </w:pPr>
            <w:r>
              <w:rPr>
                <w:rFonts w:hint="eastAsia" w:ascii="宋体" w:hAnsi="宋体" w:eastAsia="宋体" w:cs="宋体"/>
                <w:sz w:val="18"/>
                <w:szCs w:val="18"/>
              </w:rPr>
              <w:t>退货原因查询统计</w:t>
            </w:r>
          </w:p>
        </w:tc>
        <w:tc>
          <w:tcPr>
            <w:tcW w:w="1031" w:type="dxa"/>
            <w:tcBorders>
              <w:tl2br w:val="nil"/>
              <w:tr2bl w:val="nil"/>
            </w:tcBorders>
            <w:noWrap w:val="0"/>
            <w:vAlign w:val="top"/>
          </w:tcPr>
          <w:p>
            <w:pPr>
              <w:jc w:val="center"/>
              <w:rPr>
                <w:rFonts w:hint="eastAsia" w:ascii="宋体" w:hAnsi="宋体" w:eastAsia="宋体" w:cs="宋体"/>
                <w:sz w:val="18"/>
                <w:szCs w:val="18"/>
              </w:rPr>
            </w:pPr>
            <w:r>
              <w:rPr>
                <w:rFonts w:hint="eastAsia" w:ascii="宋体" w:hAnsi="宋体" w:eastAsia="宋体" w:cs="宋体"/>
                <w:sz w:val="18"/>
                <w:szCs w:val="18"/>
              </w:rPr>
              <w:t>高</w:t>
            </w:r>
          </w:p>
        </w:tc>
        <w:tc>
          <w:tcPr>
            <w:tcW w:w="1207" w:type="dxa"/>
            <w:tcBorders>
              <w:tl2br w:val="nil"/>
              <w:tr2bl w:val="nil"/>
            </w:tcBorders>
            <w:noWrap w:val="0"/>
            <w:vAlign w:val="center"/>
          </w:tcPr>
          <w:p>
            <w:pPr>
              <w:jc w:val="center"/>
              <w:rPr>
                <w:rFonts w:hint="eastAsia" w:ascii="宋体" w:hAnsi="宋体" w:eastAsia="宋体" w:cs="宋体"/>
                <w:sz w:val="18"/>
                <w:szCs w:val="18"/>
              </w:rPr>
            </w:pPr>
          </w:p>
        </w:tc>
        <w:tc>
          <w:tcPr>
            <w:tcW w:w="1280" w:type="dxa"/>
            <w:tcBorders>
              <w:tl2br w:val="nil"/>
              <w:tr2bl w:val="nil"/>
            </w:tcBorders>
            <w:noWrap w:val="0"/>
            <w:vAlign w:val="center"/>
          </w:tcPr>
          <w:p>
            <w:pPr>
              <w:jc w:val="cente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1" w:type="dxa"/>
            <w:vMerge w:val="continue"/>
            <w:tcBorders>
              <w:tl2br w:val="nil"/>
              <w:tr2bl w:val="nil"/>
            </w:tcBorders>
            <w:noWrap w:val="0"/>
            <w:vAlign w:val="center"/>
          </w:tcPr>
          <w:p>
            <w:pPr>
              <w:jc w:val="center"/>
              <w:rPr>
                <w:rFonts w:hint="eastAsia" w:ascii="宋体" w:hAnsi="宋体" w:eastAsia="宋体" w:cs="宋体"/>
                <w:sz w:val="18"/>
                <w:szCs w:val="18"/>
              </w:rPr>
            </w:pPr>
          </w:p>
        </w:tc>
        <w:tc>
          <w:tcPr>
            <w:tcW w:w="3032" w:type="dxa"/>
            <w:tcBorders>
              <w:tl2br w:val="nil"/>
              <w:tr2bl w:val="nil"/>
            </w:tcBorders>
            <w:noWrap w:val="0"/>
            <w:vAlign w:val="bottom"/>
          </w:tcPr>
          <w:p>
            <w:pPr>
              <w:jc w:val="center"/>
              <w:rPr>
                <w:rFonts w:hint="eastAsia" w:ascii="宋体" w:hAnsi="宋体" w:eastAsia="宋体" w:cs="宋体"/>
                <w:sz w:val="18"/>
                <w:szCs w:val="18"/>
              </w:rPr>
            </w:pPr>
            <w:r>
              <w:rPr>
                <w:rFonts w:hint="eastAsia" w:ascii="宋体" w:hAnsi="宋体" w:eastAsia="宋体" w:cs="宋体"/>
                <w:sz w:val="18"/>
                <w:szCs w:val="18"/>
              </w:rPr>
              <w:t>异常处理查询统计</w:t>
            </w:r>
          </w:p>
        </w:tc>
        <w:tc>
          <w:tcPr>
            <w:tcW w:w="1031" w:type="dxa"/>
            <w:tcBorders>
              <w:tl2br w:val="nil"/>
              <w:tr2bl w:val="nil"/>
            </w:tcBorders>
            <w:noWrap w:val="0"/>
            <w:vAlign w:val="top"/>
          </w:tcPr>
          <w:p>
            <w:pPr>
              <w:jc w:val="center"/>
              <w:rPr>
                <w:rFonts w:hint="eastAsia" w:ascii="宋体" w:hAnsi="宋体" w:eastAsia="宋体" w:cs="宋体"/>
                <w:sz w:val="18"/>
                <w:szCs w:val="18"/>
              </w:rPr>
            </w:pPr>
            <w:r>
              <w:rPr>
                <w:rFonts w:hint="eastAsia" w:ascii="宋体" w:hAnsi="宋体" w:eastAsia="宋体" w:cs="宋体"/>
                <w:sz w:val="18"/>
                <w:szCs w:val="18"/>
              </w:rPr>
              <w:t>高</w:t>
            </w:r>
          </w:p>
        </w:tc>
        <w:tc>
          <w:tcPr>
            <w:tcW w:w="1207" w:type="dxa"/>
            <w:tcBorders>
              <w:tl2br w:val="nil"/>
              <w:tr2bl w:val="nil"/>
            </w:tcBorders>
            <w:noWrap w:val="0"/>
            <w:vAlign w:val="center"/>
          </w:tcPr>
          <w:p>
            <w:pPr>
              <w:jc w:val="center"/>
              <w:rPr>
                <w:rFonts w:hint="eastAsia" w:ascii="宋体" w:hAnsi="宋体" w:eastAsia="宋体" w:cs="宋体"/>
                <w:sz w:val="18"/>
                <w:szCs w:val="18"/>
              </w:rPr>
            </w:pPr>
          </w:p>
        </w:tc>
        <w:tc>
          <w:tcPr>
            <w:tcW w:w="1280" w:type="dxa"/>
            <w:tcBorders>
              <w:tl2br w:val="nil"/>
              <w:tr2bl w:val="nil"/>
            </w:tcBorders>
            <w:noWrap w:val="0"/>
            <w:vAlign w:val="center"/>
          </w:tcPr>
          <w:p>
            <w:pPr>
              <w:jc w:val="cente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1" w:type="dxa"/>
            <w:vMerge w:val="continue"/>
            <w:tcBorders>
              <w:tl2br w:val="nil"/>
              <w:tr2bl w:val="nil"/>
            </w:tcBorders>
            <w:noWrap w:val="0"/>
            <w:vAlign w:val="center"/>
          </w:tcPr>
          <w:p>
            <w:pPr>
              <w:jc w:val="center"/>
              <w:rPr>
                <w:rFonts w:hint="eastAsia" w:ascii="宋体" w:hAnsi="宋体" w:eastAsia="宋体" w:cs="宋体"/>
                <w:sz w:val="18"/>
                <w:szCs w:val="18"/>
              </w:rPr>
            </w:pPr>
          </w:p>
        </w:tc>
        <w:tc>
          <w:tcPr>
            <w:tcW w:w="3032" w:type="dxa"/>
            <w:tcBorders>
              <w:tl2br w:val="nil"/>
              <w:tr2bl w:val="nil"/>
            </w:tcBorders>
            <w:noWrap w:val="0"/>
            <w:vAlign w:val="bottom"/>
          </w:tcPr>
          <w:p>
            <w:pPr>
              <w:jc w:val="center"/>
              <w:rPr>
                <w:rFonts w:hint="eastAsia" w:ascii="宋体" w:hAnsi="宋体" w:eastAsia="宋体" w:cs="宋体"/>
                <w:sz w:val="18"/>
                <w:szCs w:val="18"/>
              </w:rPr>
            </w:pPr>
            <w:r>
              <w:rPr>
                <w:rFonts w:hint="eastAsia" w:ascii="宋体" w:hAnsi="宋体" w:eastAsia="宋体" w:cs="宋体"/>
                <w:sz w:val="18"/>
                <w:szCs w:val="18"/>
              </w:rPr>
              <w:t>退货数量统计</w:t>
            </w:r>
          </w:p>
        </w:tc>
        <w:tc>
          <w:tcPr>
            <w:tcW w:w="1031" w:type="dxa"/>
            <w:tcBorders>
              <w:tl2br w:val="nil"/>
              <w:tr2bl w:val="nil"/>
            </w:tcBorders>
            <w:noWrap w:val="0"/>
            <w:vAlign w:val="top"/>
          </w:tcPr>
          <w:p>
            <w:pPr>
              <w:jc w:val="center"/>
              <w:rPr>
                <w:rFonts w:hint="eastAsia" w:ascii="宋体" w:hAnsi="宋体" w:eastAsia="宋体" w:cs="宋体"/>
                <w:sz w:val="18"/>
                <w:szCs w:val="18"/>
              </w:rPr>
            </w:pPr>
            <w:r>
              <w:rPr>
                <w:rFonts w:hint="eastAsia" w:ascii="宋体" w:hAnsi="宋体" w:eastAsia="宋体" w:cs="宋体"/>
                <w:sz w:val="18"/>
                <w:szCs w:val="18"/>
              </w:rPr>
              <w:t>高</w:t>
            </w:r>
          </w:p>
        </w:tc>
        <w:tc>
          <w:tcPr>
            <w:tcW w:w="1207" w:type="dxa"/>
            <w:tcBorders>
              <w:tl2br w:val="nil"/>
              <w:tr2bl w:val="nil"/>
            </w:tcBorders>
            <w:noWrap w:val="0"/>
            <w:vAlign w:val="center"/>
          </w:tcPr>
          <w:p>
            <w:pPr>
              <w:jc w:val="center"/>
              <w:rPr>
                <w:rFonts w:hint="eastAsia" w:ascii="宋体" w:hAnsi="宋体" w:eastAsia="宋体" w:cs="宋体"/>
                <w:sz w:val="18"/>
                <w:szCs w:val="18"/>
              </w:rPr>
            </w:pPr>
          </w:p>
        </w:tc>
        <w:tc>
          <w:tcPr>
            <w:tcW w:w="1280" w:type="dxa"/>
            <w:tcBorders>
              <w:tl2br w:val="nil"/>
              <w:tr2bl w:val="nil"/>
            </w:tcBorders>
            <w:noWrap w:val="0"/>
            <w:vAlign w:val="center"/>
          </w:tcPr>
          <w:p>
            <w:pPr>
              <w:jc w:val="cente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971" w:type="dxa"/>
            <w:vMerge w:val="continue"/>
            <w:tcBorders>
              <w:tl2br w:val="nil"/>
              <w:tr2bl w:val="nil"/>
            </w:tcBorders>
            <w:noWrap w:val="0"/>
            <w:vAlign w:val="center"/>
          </w:tcPr>
          <w:p>
            <w:pPr>
              <w:jc w:val="center"/>
              <w:rPr>
                <w:rFonts w:hint="eastAsia" w:ascii="宋体" w:hAnsi="宋体" w:eastAsia="宋体" w:cs="宋体"/>
                <w:sz w:val="18"/>
                <w:szCs w:val="18"/>
              </w:rPr>
            </w:pPr>
          </w:p>
        </w:tc>
        <w:tc>
          <w:tcPr>
            <w:tcW w:w="3032" w:type="dxa"/>
            <w:tcBorders>
              <w:tl2br w:val="nil"/>
              <w:tr2bl w:val="nil"/>
            </w:tcBorders>
            <w:noWrap w:val="0"/>
            <w:vAlign w:val="bottom"/>
          </w:tcPr>
          <w:p>
            <w:pPr>
              <w:jc w:val="center"/>
              <w:rPr>
                <w:rFonts w:hint="eastAsia" w:ascii="宋体" w:hAnsi="宋体" w:eastAsia="宋体" w:cs="宋体"/>
                <w:sz w:val="18"/>
                <w:szCs w:val="18"/>
              </w:rPr>
            </w:pPr>
            <w:r>
              <w:rPr>
                <w:rFonts w:hint="eastAsia" w:ascii="宋体" w:hAnsi="宋体" w:eastAsia="宋体" w:cs="宋体"/>
                <w:sz w:val="18"/>
                <w:szCs w:val="18"/>
              </w:rPr>
              <w:t>退货综合展示大屏</w:t>
            </w:r>
          </w:p>
        </w:tc>
        <w:tc>
          <w:tcPr>
            <w:tcW w:w="1031" w:type="dxa"/>
            <w:tcBorders>
              <w:tl2br w:val="nil"/>
              <w:tr2bl w:val="nil"/>
            </w:tcBorders>
            <w:noWrap w:val="0"/>
            <w:vAlign w:val="top"/>
          </w:tcPr>
          <w:p>
            <w:pPr>
              <w:jc w:val="center"/>
              <w:rPr>
                <w:rFonts w:hint="eastAsia" w:ascii="宋体" w:hAnsi="宋体" w:eastAsia="宋体" w:cs="宋体"/>
                <w:sz w:val="18"/>
                <w:szCs w:val="18"/>
              </w:rPr>
            </w:pPr>
            <w:r>
              <w:rPr>
                <w:rFonts w:hint="eastAsia" w:ascii="宋体" w:hAnsi="宋体" w:eastAsia="宋体" w:cs="宋体"/>
                <w:sz w:val="18"/>
                <w:szCs w:val="18"/>
              </w:rPr>
              <w:t>高</w:t>
            </w:r>
          </w:p>
        </w:tc>
        <w:tc>
          <w:tcPr>
            <w:tcW w:w="1207" w:type="dxa"/>
            <w:tcBorders>
              <w:tl2br w:val="nil"/>
              <w:tr2bl w:val="nil"/>
            </w:tcBorders>
            <w:noWrap w:val="0"/>
            <w:vAlign w:val="center"/>
          </w:tcPr>
          <w:p>
            <w:pPr>
              <w:jc w:val="center"/>
              <w:rPr>
                <w:rFonts w:hint="eastAsia" w:ascii="宋体" w:hAnsi="宋体" w:eastAsia="宋体" w:cs="宋体"/>
                <w:sz w:val="18"/>
                <w:szCs w:val="18"/>
              </w:rPr>
            </w:pPr>
          </w:p>
        </w:tc>
        <w:tc>
          <w:tcPr>
            <w:tcW w:w="1280" w:type="dxa"/>
            <w:tcBorders>
              <w:tl2br w:val="nil"/>
              <w:tr2bl w:val="nil"/>
            </w:tcBorders>
            <w:noWrap w:val="0"/>
            <w:vAlign w:val="center"/>
          </w:tcPr>
          <w:p>
            <w:pPr>
              <w:jc w:val="cente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21" w:type="dxa"/>
            <w:gridSpan w:val="5"/>
            <w:tcBorders>
              <w:tl2br w:val="nil"/>
              <w:tr2bl w:val="nil"/>
            </w:tcBorders>
            <w:noWrap w:val="0"/>
            <w:vAlign w:val="center"/>
          </w:tcPr>
          <w:p>
            <w:pPr>
              <w:jc w:val="both"/>
              <w:rPr>
                <w:rFonts w:hint="eastAsia" w:ascii="黑体" w:hAnsi="黑体" w:eastAsia="黑体" w:cs="黑体"/>
                <w:sz w:val="21"/>
                <w:szCs w:val="21"/>
                <w:lang w:val="en-US" w:eastAsia="zh-CN"/>
              </w:rPr>
            </w:pPr>
            <w:bookmarkStart w:id="59" w:name="_Toc2758"/>
            <w:bookmarkStart w:id="60" w:name="_Toc9917"/>
            <w:r>
              <w:rPr>
                <w:rFonts w:hint="eastAsia" w:ascii="黑体" w:hAnsi="黑体" w:eastAsia="黑体" w:cs="黑体"/>
                <w:sz w:val="21"/>
                <w:szCs w:val="21"/>
                <w:lang w:val="en-US" w:eastAsia="zh-CN"/>
              </w:rPr>
              <w:t>注：</w:t>
            </w:r>
          </w:p>
          <w:p>
            <w:pPr>
              <w:jc w:val="both"/>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1.结合系统总体功能需求视图给出功能需求描述表。</w:t>
            </w:r>
          </w:p>
          <w:p>
            <w:pPr>
              <w:jc w:val="both"/>
              <w:rPr>
                <w:rFonts w:hint="eastAsia" w:ascii="宋体" w:hAnsi="宋体" w:eastAsia="宋体" w:cs="宋体"/>
                <w:sz w:val="18"/>
                <w:szCs w:val="18"/>
              </w:rPr>
            </w:pPr>
            <w:r>
              <w:rPr>
                <w:rFonts w:hint="eastAsia" w:ascii="宋体" w:hAnsi="宋体" w:eastAsia="宋体" w:cs="宋体"/>
                <w:sz w:val="18"/>
                <w:szCs w:val="18"/>
                <w:lang w:val="en-US" w:eastAsia="zh-CN"/>
              </w:rPr>
              <w:t>2.优先级以高、中、低表示。</w:t>
            </w:r>
          </w:p>
        </w:tc>
      </w:tr>
    </w:tbl>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r>
        <w:rPr>
          <w:rFonts w:hint="eastAsia" w:hAnsi="Times New Roman" w:cs="Times New Roman"/>
          <w:color w:val="000000"/>
          <w:highlight w:val="none"/>
          <w:lang w:val="en-US" w:eastAsia="zh-CN"/>
        </w:rPr>
        <w:t>数据交互需求</w:t>
      </w:r>
      <w:bookmarkEnd w:id="59"/>
      <w:bookmarkEnd w:id="60"/>
    </w:p>
    <w:p>
      <w:pPr>
        <w:bidi w:val="0"/>
        <w:ind w:firstLine="420" w:firstLineChars="200"/>
        <w:rPr>
          <w:rFonts w:hint="default"/>
          <w:lang w:val="en-US" w:eastAsia="zh-CN"/>
        </w:rPr>
      </w:pPr>
      <w:r>
        <w:rPr>
          <w:rFonts w:hint="eastAsia"/>
          <w:lang w:val="en-US" w:eastAsia="zh-CN"/>
        </w:rPr>
        <w:t>平台数据交互需求见图4。</w:t>
      </w:r>
    </w:p>
    <w:p>
      <w:pPr>
        <w:pStyle w:val="5"/>
        <w:numPr>
          <w:ilvl w:val="255"/>
          <w:numId w:val="0"/>
        </w:numPr>
        <w:tabs>
          <w:tab w:val="left" w:pos="0"/>
        </w:tabs>
        <w:spacing w:before="156" w:after="156"/>
        <w:rPr>
          <w:rFonts w:hint="default" w:ascii="黑体" w:hAnsi="黑体" w:cs="黑体"/>
          <w:bCs w:val="0"/>
          <w:szCs w:val="21"/>
          <w:lang w:val="en-US" w:eastAsia="zh-CN"/>
        </w:rPr>
      </w:pPr>
      <w:r>
        <w:object>
          <v:shape id="_x0000_i1027" o:spt="75" type="#_x0000_t75" style="height:339.25pt;width:416.7pt;" o:ole="t" filled="f" o:preferrelative="t" stroked="f" coordsize="21600,21600">
            <v:path/>
            <v:fill on="f" focussize="0,0"/>
            <v:stroke on="f"/>
            <v:imagedata r:id="rId19" o:title=""/>
            <o:lock v:ext="edit" aspectratio="t"/>
            <w10:wrap type="none"/>
            <w10:anchorlock/>
          </v:shape>
          <o:OLEObject Type="Embed" ProgID="Visio.Drawing.15" ShapeID="_x0000_i1027" DrawAspect="Content" ObjectID="_1468075727" r:id="rId18">
            <o:LockedField>false</o:LockedField>
          </o:OLEObject>
        </w:object>
      </w:r>
      <w:r>
        <w:rPr>
          <w:rFonts w:hint="eastAsia" w:ascii="黑体" w:hAnsi="黑体" w:cs="黑体"/>
          <w:bCs w:val="0"/>
          <w:szCs w:val="21"/>
          <w:lang w:val="en-US" w:eastAsia="zh-CN"/>
        </w:rPr>
        <w:t>图4  平台数据需求</w:t>
      </w:r>
    </w:p>
    <w:p>
      <w:pPr>
        <w:pStyle w:val="26"/>
        <w:numPr>
          <w:ilvl w:val="1"/>
          <w:numId w:val="7"/>
        </w:numPr>
        <w:spacing w:before="156" w:after="156"/>
        <w:outlineLvl w:val="1"/>
        <w:rPr>
          <w:rFonts w:hint="eastAsia" w:hAnsi="Times New Roman" w:cs="Times New Roman"/>
          <w:color w:val="000000"/>
          <w:highlight w:val="none"/>
          <w:lang w:val="en-US" w:eastAsia="zh-CN"/>
        </w:rPr>
      </w:pPr>
      <w:bookmarkStart w:id="61" w:name="_Toc24006"/>
      <w:r>
        <w:rPr>
          <w:rFonts w:hint="eastAsia" w:hAnsi="Times New Roman" w:cs="Times New Roman"/>
          <w:color w:val="000000"/>
          <w:highlight w:val="none"/>
          <w:lang w:val="en-US" w:eastAsia="zh-CN"/>
        </w:rPr>
        <w:t>企业端接口</w:t>
      </w:r>
      <w:bookmarkEnd w:id="61"/>
    </w:p>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bookmarkStart w:id="62" w:name="_Toc22590"/>
      <w:bookmarkStart w:id="63" w:name="_Toc980"/>
      <w:r>
        <w:rPr>
          <w:rFonts w:hint="default" w:hAnsi="Times New Roman" w:cs="Times New Roman"/>
          <w:color w:val="000000"/>
          <w:highlight w:val="none"/>
          <w:lang w:val="en-US" w:eastAsia="zh-CN"/>
        </w:rPr>
        <w:t>退货订单申报接口</w:t>
      </w:r>
      <w:bookmarkEnd w:id="62"/>
      <w:bookmarkEnd w:id="63"/>
    </w:p>
    <w:p>
      <w:pPr>
        <w:numPr>
          <w:ilvl w:val="3"/>
          <w:numId w:val="7"/>
        </w:numPr>
        <w:bidi w:val="0"/>
        <w:rPr>
          <w:rFonts w:hint="default"/>
          <w:lang w:val="en-US" w:eastAsia="zh-CN"/>
        </w:rPr>
      </w:pPr>
      <w:r>
        <w:rPr>
          <w:rFonts w:hint="eastAsia"/>
          <w:lang w:val="en-US" w:eastAsia="zh-CN"/>
        </w:rPr>
        <w:t>退货订单申报接口功能具体内容见表2。</w:t>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表2  退货订单申报接口功能</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27"/>
        <w:gridCol w:w="67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27" w:type="dxa"/>
            <w:tcBorders>
              <w:bottom w:val="single" w:color="auto" w:sz="12" w:space="0"/>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功能名称</w:t>
            </w:r>
          </w:p>
        </w:tc>
        <w:tc>
          <w:tcPr>
            <w:tcW w:w="6794" w:type="dxa"/>
            <w:tcBorders>
              <w:bottom w:val="single" w:color="auto" w:sz="12" w:space="0"/>
            </w:tcBorders>
            <w:shd w:val="clear" w:color="auto" w:fill="auto"/>
            <w:noWrap w:val="0"/>
            <w:vAlign w:val="top"/>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退货订单</w:t>
            </w:r>
            <w:r>
              <w:rPr>
                <w:rFonts w:hint="eastAsia" w:cs="宋体"/>
                <w:b w:val="0"/>
                <w:bCs w:val="0"/>
                <w:i w:val="0"/>
                <w:iCs w:val="0"/>
                <w:sz w:val="18"/>
                <w:szCs w:val="18"/>
                <w:lang w:val="en-US" w:eastAsia="zh-CN"/>
              </w:rPr>
              <w:t>申报接口</w:t>
            </w:r>
            <w:r>
              <w:rPr>
                <w:rFonts w:hint="eastAsia" w:ascii="宋体" w:hAnsi="宋体" w:eastAsia="宋体" w:cs="宋体"/>
                <w:b w:val="0"/>
                <w:bCs w:val="0"/>
                <w:i w:val="0"/>
                <w:iCs w:val="0"/>
                <w:sz w:val="18"/>
                <w:szCs w:val="18"/>
              </w:rPr>
              <w:t>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业务描述</w:t>
            </w:r>
          </w:p>
        </w:tc>
        <w:tc>
          <w:tcPr>
            <w:tcW w:w="6794"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接收进出口收发货人企业申报的退货订单信息，通过统一接入平台接入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jc w:val="center"/>
        </w:trPr>
        <w:tc>
          <w:tcPr>
            <w:tcW w:w="17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使用对象</w:t>
            </w:r>
          </w:p>
        </w:tc>
        <w:tc>
          <w:tcPr>
            <w:tcW w:w="6794"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电商企业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使用条件</w:t>
            </w:r>
          </w:p>
        </w:tc>
        <w:tc>
          <w:tcPr>
            <w:tcW w:w="6794"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原出口订单存在，且状态为结关状态。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90" w:hRule="atLeast"/>
          <w:jc w:val="center"/>
        </w:trPr>
        <w:tc>
          <w:tcPr>
            <w:tcW w:w="17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操作流程</w:t>
            </w:r>
          </w:p>
        </w:tc>
        <w:tc>
          <w:tcPr>
            <w:tcW w:w="6794"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业务规则</w:t>
            </w:r>
          </w:p>
        </w:tc>
        <w:tc>
          <w:tcPr>
            <w:tcW w:w="6794" w:type="dxa"/>
            <w:tcBorders>
              <w:tl2br w:val="nil"/>
              <w:tr2bl w:val="nil"/>
            </w:tcBorders>
            <w:shd w:val="clear" w:color="auto" w:fill="auto"/>
            <w:noWrap w:val="0"/>
            <w:vAlign w:val="top"/>
          </w:tcPr>
          <w:p>
            <w:pPr>
              <w:jc w:val="left"/>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1.接收解析报文后，通过电商企业编号、订单号为业务主键，校验订单是否存在（校验接口由通关服务平台提供），不存在则退单，提示“原出口订单不存在”</w:t>
            </w:r>
          </w:p>
          <w:p>
            <w:pPr>
              <w:jc w:val="left"/>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2.订单存在，则根据表格字段说明判断必填项、判断币值、数值、计量单位，国别等字段的填写格式，对比原订单数据项是否一致。</w:t>
            </w:r>
          </w:p>
          <w:p>
            <w:pPr>
              <w:jc w:val="left"/>
              <w:rPr>
                <w:rFonts w:hint="eastAsia" w:ascii="宋体" w:hAnsi="宋体" w:eastAsia="宋体" w:cs="宋体"/>
                <w:b w:val="0"/>
                <w:bCs w:val="0"/>
                <w:i w:val="0"/>
                <w:iCs w:val="0"/>
                <w:sz w:val="18"/>
                <w:szCs w:val="18"/>
                <w:lang w:val="en-US" w:eastAsia="zh-CN"/>
              </w:rPr>
            </w:pPr>
            <w:r>
              <w:rPr>
                <w:rFonts w:hint="eastAsia" w:ascii="宋体" w:hAnsi="宋体" w:eastAsia="宋体" w:cs="宋体"/>
                <w:b w:val="0"/>
                <w:bCs w:val="0"/>
                <w:i w:val="0"/>
                <w:iCs w:val="0"/>
                <w:sz w:val="18"/>
                <w:szCs w:val="18"/>
              </w:rPr>
              <w:t>3.查询到原订单后记录原订单的运单号、出口物流企业编号，作为关联出口物流单，理货明细的业务主键</w:t>
            </w:r>
            <w:r>
              <w:rPr>
                <w:rFonts w:hint="eastAsia" w:ascii="宋体" w:hAnsi="宋体" w:eastAsia="宋体" w:cs="宋体"/>
                <w:b w:val="0"/>
                <w:bCs w:val="0"/>
                <w:i w:val="0"/>
                <w:iCs w:val="0"/>
                <w:sz w:val="18"/>
                <w:szCs w:val="18"/>
                <w:lang w:eastAsia="zh-CN"/>
              </w:rPr>
              <w:t>。</w:t>
            </w:r>
          </w:p>
          <w:p>
            <w:pPr>
              <w:jc w:val="left"/>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4.符合校验条件则入库，默认订单状态“申报中”，妥投状态默认“未妥投”无法入库给出具体错误文字提示，“xx”字段填写错误、申报内容与原订单内容不一致。</w:t>
            </w:r>
          </w:p>
          <w:p>
            <w:pPr>
              <w:jc w:val="left"/>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5.退货订单不存在或者状态为申报中、或者退单状态下可以再次申报覆盖。否则提示“运单号为xxx的退货订单信息不允许申报”。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业务数据</w:t>
            </w:r>
          </w:p>
        </w:tc>
        <w:tc>
          <w:tcPr>
            <w:tcW w:w="6794"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数据交换</w:t>
            </w:r>
          </w:p>
        </w:tc>
        <w:tc>
          <w:tcPr>
            <w:tcW w:w="6794"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非功能需求与约束</w:t>
            </w:r>
          </w:p>
        </w:tc>
        <w:tc>
          <w:tcPr>
            <w:tcW w:w="6794"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jc w:val="center"/>
        </w:trPr>
        <w:tc>
          <w:tcPr>
            <w:tcW w:w="17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异常处理</w:t>
            </w:r>
          </w:p>
        </w:tc>
        <w:tc>
          <w:tcPr>
            <w:tcW w:w="6794"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发生系统异常时，提示”数据接收处理失败”回执报文内容给企业</w:t>
            </w:r>
          </w:p>
        </w:tc>
      </w:tr>
    </w:tbl>
    <w:p>
      <w:pPr>
        <w:numPr>
          <w:ilvl w:val="3"/>
          <w:numId w:val="7"/>
        </w:numPr>
        <w:bidi w:val="0"/>
        <w:rPr>
          <w:rFonts w:hint="eastAsia"/>
          <w:lang w:val="en-US" w:eastAsia="zh-CN"/>
        </w:rPr>
      </w:pPr>
      <w:r>
        <w:rPr>
          <w:rFonts w:hint="eastAsia"/>
          <w:lang w:val="en-US" w:eastAsia="zh-CN"/>
        </w:rPr>
        <w:t>退货订单申报接口报文应包含的业务字段见</w:t>
      </w:r>
      <w:r>
        <w:rPr>
          <w:rFonts w:hint="eastAsia" w:ascii="宋体" w:hAnsi="宋体" w:eastAsia="宋体" w:cs="宋体"/>
          <w:lang w:val="en-US" w:eastAsia="zh-CN"/>
        </w:rPr>
        <w:t>表</w:t>
      </w:r>
      <w:r>
        <w:rPr>
          <w:rFonts w:hint="eastAsia" w:cs="宋体"/>
          <w:lang w:val="en-US" w:eastAsia="zh-CN"/>
        </w:rPr>
        <w:t>3</w:t>
      </w:r>
      <w:r>
        <w:rPr>
          <w:rFonts w:hint="eastAsia" w:ascii="宋体" w:hAnsi="宋体" w:eastAsia="宋体" w:cs="宋体"/>
          <w:lang w:val="en-US" w:eastAsia="zh-CN"/>
        </w:rPr>
        <w:t>、表</w:t>
      </w:r>
      <w:r>
        <w:rPr>
          <w:rFonts w:hint="eastAsia" w:cs="宋体"/>
          <w:lang w:val="en-US" w:eastAsia="zh-CN"/>
        </w:rPr>
        <w:t>4</w:t>
      </w:r>
      <w:r>
        <w:rPr>
          <w:rFonts w:hint="eastAsia" w:ascii="宋体" w:hAnsi="宋体" w:eastAsia="宋体" w:cs="宋体"/>
          <w:lang w:val="en-US" w:eastAsia="zh-CN"/>
        </w:rPr>
        <w:t>。</w:t>
      </w:r>
    </w:p>
    <w:p>
      <w:pPr>
        <w:pStyle w:val="5"/>
        <w:numPr>
          <w:ilvl w:val="255"/>
          <w:numId w:val="0"/>
        </w:numPr>
        <w:tabs>
          <w:tab w:val="left" w:pos="0"/>
        </w:tabs>
        <w:spacing w:before="156" w:after="156"/>
        <w:rPr>
          <w:rFonts w:hint="eastAsia" w:ascii="黑体" w:hAnsi="黑体" w:cs="黑体"/>
          <w:bCs w:val="0"/>
          <w:szCs w:val="21"/>
          <w:lang w:val="en-US" w:eastAsia="zh-CN"/>
        </w:rPr>
      </w:pPr>
      <w:r>
        <w:rPr>
          <w:rFonts w:hint="eastAsia" w:ascii="黑体" w:hAnsi="黑体" w:cs="黑体"/>
          <w:bCs w:val="0"/>
          <w:szCs w:val="21"/>
          <w:lang w:val="en-US" w:eastAsia="zh-CN"/>
        </w:rPr>
        <w:t>表3  表头字段</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 w:type="dxa"/>
          <w:bottom w:w="0" w:type="dxa"/>
          <w:right w:w="10" w:type="dxa"/>
        </w:tblCellMar>
      </w:tblPr>
      <w:tblGrid>
        <w:gridCol w:w="3223"/>
        <w:gridCol w:w="3500"/>
        <w:gridCol w:w="17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jc w:val="center"/>
        </w:trPr>
        <w:tc>
          <w:tcPr>
            <w:tcW w:w="3223" w:type="dxa"/>
            <w:tcBorders>
              <w:bottom w:val="single" w:color="000000" w:sz="12" w:space="0"/>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表头字段</w:t>
            </w:r>
          </w:p>
        </w:tc>
        <w:tc>
          <w:tcPr>
            <w:tcW w:w="3500" w:type="dxa"/>
            <w:tcBorders>
              <w:bottom w:val="single" w:color="000000" w:sz="12" w:space="0"/>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是否与出口订单比对</w:t>
            </w:r>
          </w:p>
        </w:tc>
        <w:tc>
          <w:tcPr>
            <w:tcW w:w="1798" w:type="dxa"/>
            <w:tcBorders>
              <w:bottom w:val="single" w:color="000000" w:sz="12" w:space="0"/>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是否必填</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trHeight w:val="331" w:hRule="atLeast"/>
          <w:jc w:val="center"/>
        </w:trPr>
        <w:tc>
          <w:tcPr>
            <w:tcW w:w="3223" w:type="dxa"/>
            <w:tcBorders>
              <w:top w:val="single" w:color="000000" w:sz="12" w:space="0"/>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提运单号</w:t>
            </w:r>
          </w:p>
        </w:tc>
        <w:tc>
          <w:tcPr>
            <w:tcW w:w="3500" w:type="dxa"/>
            <w:tcBorders>
              <w:top w:val="single" w:color="000000" w:sz="12" w:space="0"/>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N</w:t>
            </w:r>
          </w:p>
        </w:tc>
        <w:tc>
          <w:tcPr>
            <w:tcW w:w="1798" w:type="dxa"/>
            <w:tcBorders>
              <w:top w:val="single" w:color="000000" w:sz="12" w:space="0"/>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3223"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订单号</w:t>
            </w:r>
          </w:p>
        </w:tc>
        <w:tc>
          <w:tcPr>
            <w:tcW w:w="3500"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179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3223"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退货物流企业名称</w:t>
            </w:r>
          </w:p>
        </w:tc>
        <w:tc>
          <w:tcPr>
            <w:tcW w:w="3500"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N</w:t>
            </w:r>
          </w:p>
        </w:tc>
        <w:tc>
          <w:tcPr>
            <w:tcW w:w="179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3223"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退货物流企业编码</w:t>
            </w:r>
          </w:p>
        </w:tc>
        <w:tc>
          <w:tcPr>
            <w:tcW w:w="3500"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N</w:t>
            </w:r>
          </w:p>
        </w:tc>
        <w:tc>
          <w:tcPr>
            <w:tcW w:w="179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3223"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退货运单号</w:t>
            </w:r>
          </w:p>
        </w:tc>
        <w:tc>
          <w:tcPr>
            <w:tcW w:w="3500"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N</w:t>
            </w:r>
          </w:p>
        </w:tc>
        <w:tc>
          <w:tcPr>
            <w:tcW w:w="179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3223"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电商平台名称</w:t>
            </w:r>
          </w:p>
        </w:tc>
        <w:tc>
          <w:tcPr>
            <w:tcW w:w="3500"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179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3223"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电商平台编码</w:t>
            </w:r>
          </w:p>
        </w:tc>
        <w:tc>
          <w:tcPr>
            <w:tcW w:w="3500"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179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3223"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电商企业名称</w:t>
            </w:r>
          </w:p>
        </w:tc>
        <w:tc>
          <w:tcPr>
            <w:tcW w:w="3500"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179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3223"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电商企业编号</w:t>
            </w:r>
          </w:p>
        </w:tc>
        <w:tc>
          <w:tcPr>
            <w:tcW w:w="3500"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179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3223"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毛</w:t>
            </w:r>
            <w:r>
              <w:rPr>
                <w:rFonts w:hint="eastAsia" w:asciiTheme="minorEastAsia" w:hAnsiTheme="minorEastAsia" w:eastAsiaTheme="minorEastAsia" w:cstheme="minorEastAsia"/>
                <w:sz w:val="18"/>
                <w:szCs w:val="18"/>
                <w:lang w:eastAsia="zh-Hans"/>
              </w:rPr>
              <w:t>重</w:t>
            </w:r>
          </w:p>
        </w:tc>
        <w:tc>
          <w:tcPr>
            <w:tcW w:w="3500"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N</w:t>
            </w:r>
          </w:p>
        </w:tc>
        <w:tc>
          <w:tcPr>
            <w:tcW w:w="179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3223"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申报口岸</w:t>
            </w:r>
          </w:p>
        </w:tc>
        <w:tc>
          <w:tcPr>
            <w:tcW w:w="3500"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N</w:t>
            </w:r>
          </w:p>
        </w:tc>
        <w:tc>
          <w:tcPr>
            <w:tcW w:w="179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3223" w:type="dxa"/>
            <w:tcBorders>
              <w:tl2br w:val="nil"/>
              <w:tr2bl w:val="nil"/>
            </w:tcBorders>
            <w:noWrap w:val="0"/>
            <w:tcMar>
              <w:left w:w="108" w:type="dxa"/>
              <w:right w:w="108" w:type="dxa"/>
            </w:tcMar>
            <w:vAlign w:val="center"/>
          </w:tcPr>
          <w:p>
            <w:pPr>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退货类型（实际触达消费者退货/未触达消费者退货）</w:t>
            </w:r>
          </w:p>
        </w:tc>
        <w:tc>
          <w:tcPr>
            <w:tcW w:w="3500"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N</w:t>
            </w:r>
          </w:p>
        </w:tc>
        <w:tc>
          <w:tcPr>
            <w:tcW w:w="179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3223" w:type="dxa"/>
            <w:tcBorders>
              <w:tl2br w:val="nil"/>
              <w:tr2bl w:val="nil"/>
            </w:tcBorders>
            <w:noWrap w:val="0"/>
            <w:tcMar>
              <w:left w:w="108" w:type="dxa"/>
              <w:right w:w="108" w:type="dxa"/>
            </w:tcMar>
            <w:vAlign w:val="center"/>
          </w:tcPr>
          <w:p>
            <w:pPr>
              <w:jc w:val="left"/>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rPr>
              <w:t>退货原因</w:t>
            </w:r>
            <w:r>
              <w:rPr>
                <w:rFonts w:hint="eastAsia" w:asciiTheme="minorEastAsia" w:hAnsiTheme="minorEastAsia" w:cstheme="minorEastAsia"/>
                <w:sz w:val="18"/>
                <w:szCs w:val="18"/>
                <w:lang w:val="en-US" w:eastAsia="zh-CN"/>
              </w:rPr>
              <w:t>[</w:t>
            </w:r>
            <w:r>
              <w:rPr>
                <w:rFonts w:hint="eastAsia" w:asciiTheme="minorEastAsia" w:hAnsiTheme="minorEastAsia" w:eastAsiaTheme="minorEastAsia" w:cstheme="minorEastAsia"/>
                <w:sz w:val="18"/>
                <w:szCs w:val="18"/>
              </w:rPr>
              <w:t>（1）派送失败（2）清关失败（3）消费者退货（4）其他）</w:t>
            </w:r>
            <w:r>
              <w:rPr>
                <w:rFonts w:hint="eastAsia" w:asciiTheme="minorEastAsia" w:hAnsiTheme="minorEastAsia" w:cstheme="minorEastAsia"/>
                <w:sz w:val="18"/>
                <w:szCs w:val="18"/>
                <w:lang w:val="en-US" w:eastAsia="zh-CN"/>
              </w:rPr>
              <w:t>]</w:t>
            </w:r>
          </w:p>
        </w:tc>
        <w:tc>
          <w:tcPr>
            <w:tcW w:w="3500"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N</w:t>
            </w:r>
          </w:p>
        </w:tc>
        <w:tc>
          <w:tcPr>
            <w:tcW w:w="179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8521" w:type="dxa"/>
            <w:gridSpan w:val="3"/>
            <w:tcBorders>
              <w:tl2br w:val="nil"/>
              <w:tr2bl w:val="nil"/>
            </w:tcBorders>
            <w:noWrap w:val="0"/>
            <w:tcMar>
              <w:left w:w="108" w:type="dxa"/>
              <w:right w:w="108" w:type="dxa"/>
            </w:tcMar>
            <w:vAlign w:val="center"/>
          </w:tcPr>
          <w:p>
            <w:pPr>
              <w:jc w:val="left"/>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注：Y表示“是”、N表示“否”</w:t>
            </w:r>
          </w:p>
        </w:tc>
      </w:tr>
    </w:tbl>
    <w:p>
      <w:pPr>
        <w:pStyle w:val="5"/>
        <w:numPr>
          <w:ilvl w:val="255"/>
          <w:numId w:val="0"/>
        </w:numPr>
        <w:tabs>
          <w:tab w:val="left" w:pos="0"/>
        </w:tabs>
        <w:spacing w:before="156" w:after="156"/>
        <w:rPr>
          <w:rFonts w:hint="eastAsia" w:ascii="黑体" w:hAnsi="黑体" w:cs="黑体"/>
          <w:bCs w:val="0"/>
          <w:szCs w:val="21"/>
          <w:lang w:val="en-US" w:eastAsia="zh-CN"/>
        </w:rPr>
      </w:pPr>
      <w:r>
        <w:rPr>
          <w:rFonts w:hint="eastAsia" w:ascii="黑体" w:hAnsi="黑体" w:cs="黑体"/>
          <w:bCs w:val="0"/>
          <w:szCs w:val="21"/>
          <w:lang w:val="en-US" w:eastAsia="zh-CN"/>
        </w:rPr>
        <w:t>表4  表体字段</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 w:type="dxa"/>
          <w:bottom w:w="0" w:type="dxa"/>
          <w:right w:w="10" w:type="dxa"/>
        </w:tblCellMar>
      </w:tblPr>
      <w:tblGrid>
        <w:gridCol w:w="2478"/>
        <w:gridCol w:w="3338"/>
        <w:gridCol w:w="270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2478" w:type="dxa"/>
            <w:tcBorders>
              <w:bottom w:val="single" w:color="000000" w:sz="12" w:space="0"/>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表体字段</w:t>
            </w:r>
          </w:p>
        </w:tc>
        <w:tc>
          <w:tcPr>
            <w:tcW w:w="3338" w:type="dxa"/>
            <w:tcBorders>
              <w:bottom w:val="single" w:color="000000" w:sz="12" w:space="0"/>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是否与正向出口数据比对</w:t>
            </w:r>
          </w:p>
        </w:tc>
        <w:tc>
          <w:tcPr>
            <w:tcW w:w="2705" w:type="dxa"/>
            <w:tcBorders>
              <w:bottom w:val="single" w:color="000000" w:sz="12" w:space="0"/>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是否必填</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2478" w:type="dxa"/>
            <w:tcBorders>
              <w:top w:val="single" w:color="000000" w:sz="12" w:space="0"/>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商品项号</w:t>
            </w:r>
          </w:p>
        </w:tc>
        <w:tc>
          <w:tcPr>
            <w:tcW w:w="3338" w:type="dxa"/>
            <w:tcBorders>
              <w:top w:val="single" w:color="000000" w:sz="12" w:space="0"/>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2705" w:type="dxa"/>
            <w:tcBorders>
              <w:top w:val="single" w:color="000000" w:sz="12" w:space="0"/>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247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商品名称</w:t>
            </w:r>
          </w:p>
        </w:tc>
        <w:tc>
          <w:tcPr>
            <w:tcW w:w="333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2705"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247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商品编码</w:t>
            </w:r>
          </w:p>
        </w:tc>
        <w:tc>
          <w:tcPr>
            <w:tcW w:w="333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2705"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247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规格型号</w:t>
            </w:r>
          </w:p>
        </w:tc>
        <w:tc>
          <w:tcPr>
            <w:tcW w:w="333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2705"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247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申报数量</w:t>
            </w:r>
          </w:p>
        </w:tc>
        <w:tc>
          <w:tcPr>
            <w:tcW w:w="333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2705"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247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申报计量单位</w:t>
            </w:r>
          </w:p>
        </w:tc>
        <w:tc>
          <w:tcPr>
            <w:tcW w:w="333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2705"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247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法定数量</w:t>
            </w:r>
          </w:p>
        </w:tc>
        <w:tc>
          <w:tcPr>
            <w:tcW w:w="333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2705"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247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法定计量单位</w:t>
            </w:r>
          </w:p>
        </w:tc>
        <w:tc>
          <w:tcPr>
            <w:tcW w:w="333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2705"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247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法定第二数量</w:t>
            </w:r>
          </w:p>
        </w:tc>
        <w:tc>
          <w:tcPr>
            <w:tcW w:w="333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2705"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247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法定第二计量单位</w:t>
            </w:r>
          </w:p>
        </w:tc>
        <w:tc>
          <w:tcPr>
            <w:tcW w:w="333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2705"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247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消费者国别</w:t>
            </w:r>
          </w:p>
        </w:tc>
        <w:tc>
          <w:tcPr>
            <w:tcW w:w="333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2705"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247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单价</w:t>
            </w:r>
          </w:p>
        </w:tc>
        <w:tc>
          <w:tcPr>
            <w:tcW w:w="333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2705"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247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币制</w:t>
            </w:r>
          </w:p>
        </w:tc>
        <w:tc>
          <w:tcPr>
            <w:tcW w:w="333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2705"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247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总价</w:t>
            </w:r>
          </w:p>
        </w:tc>
        <w:tc>
          <w:tcPr>
            <w:tcW w:w="333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2705"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247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电商店铺商品链接</w:t>
            </w:r>
          </w:p>
        </w:tc>
        <w:tc>
          <w:tcPr>
            <w:tcW w:w="333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N</w:t>
            </w:r>
          </w:p>
        </w:tc>
        <w:tc>
          <w:tcPr>
            <w:tcW w:w="2705"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N</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8521" w:type="dxa"/>
            <w:gridSpan w:val="3"/>
            <w:tcBorders>
              <w:tl2br w:val="nil"/>
              <w:tr2bl w:val="nil"/>
            </w:tcBorders>
            <w:noWrap w:val="0"/>
            <w:tcMar>
              <w:left w:w="108" w:type="dxa"/>
              <w:right w:w="108" w:type="dxa"/>
            </w:tcMar>
            <w:vAlign w:val="center"/>
          </w:tcPr>
          <w:p>
            <w:pPr>
              <w:jc w:val="left"/>
              <w:rPr>
                <w:rFonts w:hint="eastAsia" w:asciiTheme="minorEastAsia" w:hAnsiTheme="minorEastAsia" w:eastAsiaTheme="minorEastAsia" w:cstheme="minorEastAsia"/>
                <w:sz w:val="18"/>
                <w:szCs w:val="18"/>
              </w:rPr>
            </w:pPr>
            <w:bookmarkStart w:id="64" w:name="_Toc21408"/>
            <w:bookmarkStart w:id="65" w:name="_Toc21065"/>
            <w:r>
              <w:rPr>
                <w:rFonts w:hint="eastAsia" w:asciiTheme="minorEastAsia" w:hAnsiTheme="minorEastAsia" w:eastAsiaTheme="minorEastAsia" w:cstheme="minorEastAsia"/>
                <w:sz w:val="18"/>
                <w:szCs w:val="18"/>
                <w:lang w:val="en-US" w:eastAsia="zh-CN"/>
              </w:rPr>
              <w:t>注：Y表示“是”、N表示“否”</w:t>
            </w:r>
          </w:p>
        </w:tc>
      </w:tr>
    </w:tbl>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r>
        <w:rPr>
          <w:rFonts w:hint="default" w:hAnsi="Times New Roman" w:cs="Times New Roman"/>
          <w:color w:val="000000"/>
          <w:highlight w:val="none"/>
          <w:lang w:val="en-US" w:eastAsia="zh-CN"/>
        </w:rPr>
        <w:t>退货</w:t>
      </w:r>
      <w:r>
        <w:rPr>
          <w:rFonts w:hint="eastAsia" w:hAnsi="Times New Roman" w:cs="Times New Roman"/>
          <w:color w:val="000000"/>
          <w:highlight w:val="none"/>
          <w:lang w:val="en-US" w:eastAsia="zh-CN"/>
        </w:rPr>
        <w:t>物流单</w:t>
      </w:r>
      <w:r>
        <w:rPr>
          <w:rFonts w:hint="default" w:hAnsi="Times New Roman" w:cs="Times New Roman"/>
          <w:color w:val="000000"/>
          <w:highlight w:val="none"/>
          <w:lang w:val="en-US" w:eastAsia="zh-CN"/>
        </w:rPr>
        <w:t>接口</w:t>
      </w:r>
      <w:bookmarkEnd w:id="64"/>
      <w:bookmarkEnd w:id="65"/>
    </w:p>
    <w:p>
      <w:pPr>
        <w:numPr>
          <w:ilvl w:val="3"/>
          <w:numId w:val="7"/>
        </w:numPr>
        <w:bidi w:val="0"/>
        <w:rPr>
          <w:rFonts w:hint="default"/>
          <w:lang w:val="en-US" w:eastAsia="zh-CN"/>
        </w:rPr>
      </w:pPr>
      <w:r>
        <w:rPr>
          <w:rFonts w:hint="default"/>
          <w:lang w:val="en-US" w:eastAsia="zh-CN"/>
        </w:rPr>
        <w:t>退货</w:t>
      </w:r>
      <w:r>
        <w:rPr>
          <w:rFonts w:hint="eastAsia"/>
          <w:lang w:val="en-US" w:eastAsia="zh-CN"/>
        </w:rPr>
        <w:t>物流单</w:t>
      </w:r>
      <w:r>
        <w:rPr>
          <w:rFonts w:hint="default"/>
          <w:lang w:val="en-US" w:eastAsia="zh-CN"/>
        </w:rPr>
        <w:t>接口功能具体</w:t>
      </w:r>
      <w:r>
        <w:rPr>
          <w:rFonts w:hint="eastAsia"/>
          <w:lang w:val="en-US" w:eastAsia="zh-CN"/>
        </w:rPr>
        <w:t>内容</w:t>
      </w:r>
      <w:r>
        <w:rPr>
          <w:rFonts w:hint="default"/>
          <w:lang w:val="en-US" w:eastAsia="zh-CN"/>
        </w:rPr>
        <w:t>见表</w:t>
      </w:r>
      <w:r>
        <w:rPr>
          <w:rFonts w:hint="eastAsia"/>
          <w:lang w:val="en-US" w:eastAsia="zh-CN"/>
        </w:rPr>
        <w:t>5</w:t>
      </w:r>
      <w:r>
        <w:rPr>
          <w:rFonts w:hint="default"/>
          <w:lang w:val="en-US" w:eastAsia="zh-CN"/>
        </w:rPr>
        <w:t>。</w:t>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表5  退货物流单接口功能</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57"/>
        <w:gridCol w:w="67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57" w:type="dxa"/>
            <w:tcBorders>
              <w:bottom w:val="single" w:color="auto" w:sz="12" w:space="0"/>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功能名称</w:t>
            </w:r>
          </w:p>
        </w:tc>
        <w:tc>
          <w:tcPr>
            <w:tcW w:w="6764" w:type="dxa"/>
            <w:tcBorders>
              <w:bottom w:val="single" w:color="auto" w:sz="12" w:space="0"/>
            </w:tcBorders>
            <w:shd w:val="clear" w:color="auto" w:fill="auto"/>
            <w:noWrap w:val="0"/>
            <w:vAlign w:val="top"/>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退货</w:t>
            </w:r>
            <w:r>
              <w:rPr>
                <w:rFonts w:hint="eastAsia" w:cs="宋体"/>
                <w:b w:val="0"/>
                <w:bCs w:val="0"/>
                <w:i w:val="0"/>
                <w:iCs w:val="0"/>
                <w:sz w:val="18"/>
                <w:szCs w:val="18"/>
                <w:lang w:val="en-US" w:eastAsia="zh-CN"/>
              </w:rPr>
              <w:t>物流单</w:t>
            </w:r>
            <w:r>
              <w:rPr>
                <w:rFonts w:hint="eastAsia" w:ascii="宋体" w:hAnsi="宋体" w:eastAsia="宋体" w:cs="宋体"/>
                <w:b w:val="0"/>
                <w:bCs w:val="0"/>
                <w:i w:val="0"/>
                <w:iCs w:val="0"/>
                <w:sz w:val="18"/>
                <w:szCs w:val="18"/>
              </w:rPr>
              <w:t>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5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业务描述</w:t>
            </w:r>
          </w:p>
        </w:tc>
        <w:tc>
          <w:tcPr>
            <w:tcW w:w="6764"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接收物流企业申报的退货物流信息，通过统一接入平台接入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5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使用对象</w:t>
            </w:r>
          </w:p>
        </w:tc>
        <w:tc>
          <w:tcPr>
            <w:tcW w:w="6764"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退货物流承运企业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5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使用条件</w:t>
            </w:r>
          </w:p>
        </w:tc>
        <w:tc>
          <w:tcPr>
            <w:tcW w:w="6764"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原出口订单存在，且状态为结关状态。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5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操作流程</w:t>
            </w:r>
          </w:p>
        </w:tc>
        <w:tc>
          <w:tcPr>
            <w:tcW w:w="6764"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5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业务规则</w:t>
            </w:r>
          </w:p>
        </w:tc>
        <w:tc>
          <w:tcPr>
            <w:tcW w:w="6764"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1.接收解析报文后，通过物流企业编号、出口运单号为业务主键，校验订单是否存在（校验接口由通关服务平台提供）（先不校验，通过三单比对环节校验）</w:t>
            </w:r>
          </w:p>
          <w:p>
            <w:pPr>
              <w:ind w:firstLine="90" w:firstLineChars="5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2.根据表格说明判断必填项、判断海关参数标准的字段的填写格式，对比原订单数据项是否一致。</w:t>
            </w:r>
          </w:p>
          <w:p>
            <w:pPr>
              <w:ind w:firstLine="90" w:firstLineChars="5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3.符合校验条件则入库，无法入库给出具体错误文字提示。具体字段填写错误、原出口订单不存在、申报内容与原订单内容不一致。</w:t>
            </w:r>
          </w:p>
          <w:p>
            <w:pPr>
              <w:ind w:firstLine="90" w:firstLineChars="5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4.退货订单不存在或者状态为申报中、或者退单状态下可以再次申报覆盖。否则提示“运单号为xxx的退货物流信息不允许申报”。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5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业务数据</w:t>
            </w:r>
          </w:p>
        </w:tc>
        <w:tc>
          <w:tcPr>
            <w:tcW w:w="6764"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5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数据交换</w:t>
            </w:r>
          </w:p>
        </w:tc>
        <w:tc>
          <w:tcPr>
            <w:tcW w:w="6764"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5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非功能需求与约束</w:t>
            </w:r>
          </w:p>
        </w:tc>
        <w:tc>
          <w:tcPr>
            <w:tcW w:w="6764"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5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异常处理</w:t>
            </w:r>
          </w:p>
        </w:tc>
        <w:tc>
          <w:tcPr>
            <w:tcW w:w="6764"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发生系统异常时，提示”数据接收处理失败”回执报文内容给企业</w:t>
            </w:r>
          </w:p>
        </w:tc>
      </w:tr>
    </w:tbl>
    <w:p>
      <w:pPr>
        <w:numPr>
          <w:ilvl w:val="3"/>
          <w:numId w:val="7"/>
        </w:numPr>
        <w:bidi w:val="0"/>
        <w:rPr>
          <w:rFonts w:hint="default" w:eastAsiaTheme="minorEastAsia"/>
          <w:lang w:val="en-US" w:eastAsia="zh-CN"/>
        </w:rPr>
      </w:pPr>
      <w:r>
        <w:rPr>
          <w:rFonts w:hint="eastAsia" w:ascii="黑体" w:hAnsi="黑体" w:cs="黑体"/>
          <w:bCs w:val="0"/>
          <w:szCs w:val="21"/>
          <w:lang w:val="en-US" w:eastAsia="zh-CN"/>
        </w:rPr>
        <w:t>退货物流单接口</w:t>
      </w:r>
      <w:r>
        <w:rPr>
          <w:rFonts w:hint="eastAsia"/>
        </w:rPr>
        <w:t>报文</w:t>
      </w:r>
      <w:r>
        <w:rPr>
          <w:rFonts w:hint="eastAsia"/>
          <w:lang w:val="en-US" w:eastAsia="zh-CN"/>
        </w:rPr>
        <w:t>应</w:t>
      </w:r>
      <w:r>
        <w:rPr>
          <w:rFonts w:hint="eastAsia"/>
        </w:rPr>
        <w:t>包含</w:t>
      </w:r>
      <w:r>
        <w:rPr>
          <w:rFonts w:hint="eastAsia"/>
          <w:lang w:val="en-US" w:eastAsia="zh-CN"/>
        </w:rPr>
        <w:t>的</w:t>
      </w:r>
      <w:r>
        <w:rPr>
          <w:rFonts w:hint="eastAsia"/>
        </w:rPr>
        <w:t>业务字段</w:t>
      </w:r>
      <w:r>
        <w:rPr>
          <w:rFonts w:hint="eastAsia"/>
          <w:lang w:val="en-US" w:eastAsia="zh-CN"/>
        </w:rPr>
        <w:t>见表6。</w:t>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表6  退货物流单接口报文字段</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220"/>
        <w:gridCol w:w="3226"/>
        <w:gridCol w:w="20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字段</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是否与正向数据比对</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是否必填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出口运单号</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出口物流申报企业名称</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出口物流申报企业编码</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出口离境口岸代码</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出口离境时间</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出口结关时间</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出口运抵国别</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出口运抵境外城市名称</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出口运抵境外城市时间</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境外清关城市</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运抵境外清关城市时间</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境外清关是否成功（，成功“YES”，失败“NO”）</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境外配送分拨仓地址</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运抵境外配送分拨仓时间</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境外配送是否成功（，成功“YES”，失败“NO”）</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退货运单号</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毛重</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退货物流企业名称</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退货物流企业代码</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境外退货分拨仓名称</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运抵境外退货分拨仓时间</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退货提运单号</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退货境外启运地</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退货境外启运时间</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进境监管场所名称</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入境时间</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入境口岸代码</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监管口岸代码</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jc w:val="center"/>
              <w:rPr>
                <w:rFonts w:hint="eastAsia" w:ascii="宋体" w:hAnsi="宋体" w:eastAsia="宋体" w:cs="宋体"/>
                <w:color w:val="auto"/>
                <w:kern w:val="0"/>
                <w:sz w:val="18"/>
                <w:szCs w:val="18"/>
              </w:rPr>
            </w:pPr>
            <w:r>
              <w:rPr>
                <w:rFonts w:hint="eastAsia" w:ascii="宋体" w:hAnsi="宋体" w:eastAsia="宋体" w:cs="宋体"/>
                <w:color w:val="auto"/>
                <w:sz w:val="18"/>
                <w:szCs w:val="18"/>
              </w:rPr>
              <w:t>物流查询地址</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退货运抵监管口岸时间</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21" w:type="dxa"/>
            <w:gridSpan w:val="3"/>
            <w:tcBorders>
              <w:tl2br w:val="nil"/>
              <w:tr2bl w:val="nil"/>
            </w:tcBorders>
            <w:noWrap w:val="0"/>
            <w:vAlign w:val="center"/>
          </w:tcPr>
          <w:p>
            <w:pPr>
              <w:widowControl/>
              <w:jc w:val="left"/>
              <w:rPr>
                <w:rFonts w:hint="eastAsia" w:ascii="宋体" w:hAnsi="宋体" w:eastAsia="宋体" w:cs="宋体"/>
                <w:color w:val="auto"/>
                <w:kern w:val="0"/>
                <w:sz w:val="18"/>
                <w:szCs w:val="18"/>
              </w:rPr>
            </w:pPr>
            <w:bookmarkStart w:id="66" w:name="_Toc3904"/>
            <w:bookmarkStart w:id="67" w:name="_Toc255"/>
            <w:r>
              <w:rPr>
                <w:rFonts w:hint="eastAsia" w:ascii="宋体" w:hAnsi="宋体" w:eastAsia="宋体" w:cs="宋体"/>
                <w:color w:val="auto"/>
                <w:kern w:val="0"/>
                <w:sz w:val="18"/>
                <w:szCs w:val="18"/>
                <w:lang w:val="en-US" w:eastAsia="zh-CN"/>
              </w:rPr>
              <w:t>注：Y表示“是”、N表示“否”</w:t>
            </w:r>
          </w:p>
        </w:tc>
      </w:tr>
    </w:tbl>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r>
        <w:rPr>
          <w:rFonts w:hint="default" w:hAnsi="Times New Roman" w:cs="Times New Roman"/>
          <w:color w:val="000000"/>
          <w:highlight w:val="none"/>
          <w:lang w:val="en-US" w:eastAsia="zh-CN"/>
        </w:rPr>
        <w:t>退货理货明细申报接口</w:t>
      </w:r>
      <w:bookmarkEnd w:id="66"/>
      <w:bookmarkEnd w:id="67"/>
    </w:p>
    <w:p>
      <w:pPr>
        <w:numPr>
          <w:ilvl w:val="3"/>
          <w:numId w:val="7"/>
        </w:numPr>
        <w:bidi w:val="0"/>
        <w:ind w:left="0" w:firstLine="0"/>
        <w:rPr>
          <w:rFonts w:hint="default"/>
          <w:lang w:val="en-US" w:eastAsia="zh-CN"/>
        </w:rPr>
      </w:pPr>
      <w:r>
        <w:rPr>
          <w:rFonts w:hint="eastAsia" w:ascii="宋体" w:eastAsia="宋体"/>
          <w:lang w:val="en-US" w:eastAsia="zh-CN"/>
        </w:rPr>
        <w:t>退货理货明细</w:t>
      </w:r>
      <w:r>
        <w:rPr>
          <w:rFonts w:hint="eastAsia"/>
          <w:lang w:val="en-US" w:eastAsia="zh-CN"/>
        </w:rPr>
        <w:t>申报接口</w:t>
      </w:r>
      <w:r>
        <w:rPr>
          <w:rFonts w:hint="eastAsia" w:ascii="宋体" w:eastAsia="宋体"/>
          <w:lang w:val="en-US" w:eastAsia="zh-CN"/>
        </w:rPr>
        <w:t>功能具体内容见表</w:t>
      </w:r>
      <w:r>
        <w:rPr>
          <w:rFonts w:hint="eastAsia"/>
          <w:lang w:val="en-US" w:eastAsia="zh-CN"/>
        </w:rPr>
        <w:t>7</w:t>
      </w:r>
      <w:r>
        <w:rPr>
          <w:rFonts w:hint="eastAsia" w:ascii="宋体" w:eastAsia="宋体"/>
          <w:lang w:val="en-US" w:eastAsia="zh-CN"/>
        </w:rPr>
        <w:t>。</w:t>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表7  退货理货明细申报接口功能</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942"/>
        <w:gridCol w:w="65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942" w:type="dxa"/>
            <w:tcBorders>
              <w:bottom w:val="single" w:color="auto" w:sz="12" w:space="0"/>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功能名称</w:t>
            </w:r>
          </w:p>
        </w:tc>
        <w:tc>
          <w:tcPr>
            <w:tcW w:w="6579" w:type="dxa"/>
            <w:tcBorders>
              <w:bottom w:val="single" w:color="auto" w:sz="12" w:space="0"/>
            </w:tcBorders>
            <w:shd w:val="clear" w:color="auto" w:fill="auto"/>
            <w:noWrap w:val="0"/>
            <w:vAlign w:val="top"/>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退货理货明细</w:t>
            </w:r>
            <w:r>
              <w:rPr>
                <w:rFonts w:hint="eastAsia" w:cs="宋体"/>
                <w:b w:val="0"/>
                <w:bCs w:val="0"/>
                <w:i w:val="0"/>
                <w:iCs w:val="0"/>
                <w:color w:val="auto"/>
                <w:sz w:val="18"/>
                <w:szCs w:val="18"/>
                <w:lang w:val="en-US" w:eastAsia="zh-CN"/>
              </w:rPr>
              <w:t>申报接口</w:t>
            </w:r>
            <w:r>
              <w:rPr>
                <w:rFonts w:hint="eastAsia" w:ascii="宋体" w:hAnsi="宋体" w:eastAsia="宋体" w:cs="宋体"/>
                <w:b w:val="0"/>
                <w:bCs w:val="0"/>
                <w:i w:val="0"/>
                <w:iCs w:val="0"/>
                <w:color w:val="auto"/>
                <w:sz w:val="18"/>
                <w:szCs w:val="18"/>
              </w:rPr>
              <w:t>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942"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业务描述</w:t>
            </w:r>
          </w:p>
        </w:tc>
        <w:tc>
          <w:tcPr>
            <w:tcW w:w="6579"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接收场站理货申报的退货理货明细信息，通过统一接入平台接入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942"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使用对象</w:t>
            </w:r>
          </w:p>
        </w:tc>
        <w:tc>
          <w:tcPr>
            <w:tcW w:w="6579" w:type="dxa"/>
            <w:tcBorders>
              <w:tl2br w:val="nil"/>
              <w:tr2bl w:val="nil"/>
            </w:tcBorders>
            <w:shd w:val="clear" w:color="auto" w:fill="auto"/>
            <w:noWrap w:val="0"/>
            <w:vAlign w:val="top"/>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场站公司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23" w:hRule="atLeast"/>
          <w:jc w:val="center"/>
        </w:trPr>
        <w:tc>
          <w:tcPr>
            <w:tcW w:w="1942"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使用条件</w:t>
            </w:r>
          </w:p>
        </w:tc>
        <w:tc>
          <w:tcPr>
            <w:tcW w:w="6579" w:type="dxa"/>
            <w:tcBorders>
              <w:tl2br w:val="nil"/>
              <w:tr2bl w:val="nil"/>
            </w:tcBorders>
            <w:shd w:val="clear" w:color="auto" w:fill="auto"/>
            <w:noWrap w:val="0"/>
            <w:vAlign w:val="top"/>
          </w:tcPr>
          <w:p>
            <w:pPr>
              <w:jc w:val="center"/>
              <w:rPr>
                <w:rFonts w:hint="eastAsia" w:ascii="宋体" w:hAnsi="宋体" w:eastAsia="宋体" w:cs="宋体"/>
                <w:b w:val="0"/>
                <w:bCs w:val="0"/>
                <w:i w:val="0"/>
                <w:iCs w:val="0"/>
                <w:color w:val="auto"/>
                <w:sz w:val="18"/>
                <w:szCs w:val="18"/>
                <w:lang w:val="en-US" w:eastAsia="zh-CN"/>
              </w:rPr>
            </w:pPr>
            <w:r>
              <w:rPr>
                <w:rFonts w:hint="eastAsia" w:cs="宋体"/>
                <w:b w:val="0"/>
                <w:bCs w:val="0"/>
                <w:i w:val="0"/>
                <w:iCs w:val="0"/>
                <w:color w:val="auto"/>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942"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操作流程</w:t>
            </w:r>
          </w:p>
        </w:tc>
        <w:tc>
          <w:tcPr>
            <w:tcW w:w="6579" w:type="dxa"/>
            <w:tcBorders>
              <w:tl2br w:val="nil"/>
              <w:tr2bl w:val="nil"/>
            </w:tcBorders>
            <w:shd w:val="clear" w:color="auto" w:fill="auto"/>
            <w:noWrap w:val="0"/>
            <w:vAlign w:val="top"/>
          </w:tcPr>
          <w:p>
            <w:pPr>
              <w:jc w:val="center"/>
              <w:rPr>
                <w:rFonts w:hint="eastAsia" w:ascii="宋体" w:hAnsi="宋体" w:eastAsia="宋体" w:cs="宋体"/>
                <w:b w:val="0"/>
                <w:bCs w:val="0"/>
                <w:i w:val="0"/>
                <w:iCs w:val="0"/>
                <w:color w:val="auto"/>
                <w:sz w:val="18"/>
                <w:szCs w:val="18"/>
                <w:lang w:val="en-US" w:eastAsia="zh-CN"/>
              </w:rPr>
            </w:pPr>
            <w:r>
              <w:rPr>
                <w:rFonts w:hint="eastAsia" w:cs="宋体"/>
                <w:b w:val="0"/>
                <w:bCs w:val="0"/>
                <w:i w:val="0"/>
                <w:iCs w:val="0"/>
                <w:color w:val="auto"/>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942"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业务规则</w:t>
            </w:r>
          </w:p>
        </w:tc>
        <w:tc>
          <w:tcPr>
            <w:tcW w:w="6579"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报文中包含以下业务字段，</w:t>
            </w:r>
          </w:p>
          <w:p>
            <w:pP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1.以提单号为维度申报，已存在该提单号则不能再申报。“提示已存在改提单号，不能再申报”。根据表格字段说明判断必填项，海关参数等字段的填写格式</w:t>
            </w:r>
          </w:p>
          <w:p>
            <w:pP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2.根据退货物流企业编号、退货物流单号查找对应前大股东，若对应订单已经不是退单或者待审核状态，则提示“出口运单号为xxx的理货信息不允许申报”</w:t>
            </w:r>
          </w:p>
          <w:p>
            <w:pP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3</w:t>
            </w:r>
            <w:r>
              <w:rPr>
                <w:rFonts w:hint="eastAsia" w:ascii="宋体" w:hAnsi="宋体" w:eastAsia="宋体" w:cs="宋体"/>
                <w:b w:val="0"/>
                <w:bCs w:val="0"/>
                <w:i w:val="0"/>
                <w:iCs w:val="0"/>
                <w:color w:val="auto"/>
                <w:sz w:val="18"/>
                <w:szCs w:val="18"/>
                <w:lang w:val="en-US" w:eastAsia="zh-CN"/>
              </w:rPr>
              <w:t>.</w:t>
            </w:r>
            <w:r>
              <w:rPr>
                <w:rFonts w:hint="eastAsia" w:ascii="宋体" w:hAnsi="宋体" w:eastAsia="宋体" w:cs="宋体"/>
                <w:b w:val="0"/>
                <w:bCs w:val="0"/>
                <w:i w:val="0"/>
                <w:iCs w:val="0"/>
                <w:color w:val="auto"/>
                <w:sz w:val="18"/>
                <w:szCs w:val="18"/>
              </w:rPr>
              <w:t>符合校验条件则入库，其中一单入库出现问题则全部退回，重新申报。</w:t>
            </w:r>
          </w:p>
          <w:p>
            <w:pP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4</w:t>
            </w:r>
            <w:r>
              <w:rPr>
                <w:rFonts w:hint="eastAsia" w:ascii="宋体" w:hAnsi="宋体" w:eastAsia="宋体" w:cs="宋体"/>
                <w:b w:val="0"/>
                <w:bCs w:val="0"/>
                <w:i w:val="0"/>
                <w:iCs w:val="0"/>
                <w:color w:val="auto"/>
                <w:sz w:val="18"/>
                <w:szCs w:val="18"/>
                <w:lang w:val="en-US" w:eastAsia="zh-CN"/>
              </w:rPr>
              <w:t>.</w:t>
            </w:r>
            <w:r>
              <w:rPr>
                <w:rFonts w:hint="eastAsia" w:ascii="宋体" w:hAnsi="宋体" w:eastAsia="宋体" w:cs="宋体"/>
                <w:b w:val="0"/>
                <w:bCs w:val="0"/>
                <w:i w:val="0"/>
                <w:iCs w:val="0"/>
                <w:color w:val="auto"/>
                <w:sz w:val="18"/>
                <w:szCs w:val="18"/>
              </w:rPr>
              <w:t>若订单不存在，则只入库理货明细（理论数据没有，实物到达）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42"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变更记录</w:t>
            </w:r>
          </w:p>
        </w:tc>
        <w:tc>
          <w:tcPr>
            <w:tcW w:w="6579" w:type="dxa"/>
            <w:tcBorders>
              <w:tl2br w:val="nil"/>
              <w:tr2bl w:val="nil"/>
            </w:tcBorders>
            <w:shd w:val="clear" w:color="auto" w:fill="auto"/>
            <w:noWrap w:val="0"/>
            <w:vAlign w:val="top"/>
          </w:tcPr>
          <w:p>
            <w:pPr>
              <w:jc w:val="center"/>
              <w:rPr>
                <w:rFonts w:hint="eastAsia" w:ascii="宋体" w:hAnsi="宋体" w:eastAsia="宋体" w:cs="宋体"/>
                <w:b w:val="0"/>
                <w:bCs w:val="0"/>
                <w:i w:val="0"/>
                <w:iCs w:val="0"/>
                <w:color w:val="auto"/>
                <w:sz w:val="18"/>
                <w:szCs w:val="18"/>
                <w:lang w:val="en-US" w:eastAsia="zh-CN"/>
              </w:rPr>
            </w:pPr>
            <w:r>
              <w:rPr>
                <w:rFonts w:hint="eastAsia" w:cs="宋体"/>
                <w:b w:val="0"/>
                <w:bCs w:val="0"/>
                <w:i w:val="0"/>
                <w:iCs w:val="0"/>
                <w:color w:val="auto"/>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42"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业务数据</w:t>
            </w:r>
          </w:p>
        </w:tc>
        <w:tc>
          <w:tcPr>
            <w:tcW w:w="6579" w:type="dxa"/>
            <w:tcBorders>
              <w:tl2br w:val="nil"/>
              <w:tr2bl w:val="nil"/>
            </w:tcBorders>
            <w:shd w:val="clear" w:color="auto" w:fill="auto"/>
            <w:noWrap w:val="0"/>
            <w:vAlign w:val="top"/>
          </w:tcPr>
          <w:p>
            <w:pPr>
              <w:jc w:val="center"/>
              <w:rPr>
                <w:rFonts w:hint="eastAsia" w:ascii="宋体" w:hAnsi="宋体" w:eastAsia="宋体" w:cs="宋体"/>
                <w:b w:val="0"/>
                <w:bCs w:val="0"/>
                <w:i w:val="0"/>
                <w:iCs w:val="0"/>
                <w:color w:val="auto"/>
                <w:sz w:val="18"/>
                <w:szCs w:val="18"/>
                <w:lang w:val="en-US" w:eastAsia="zh-CN"/>
              </w:rPr>
            </w:pPr>
            <w:r>
              <w:rPr>
                <w:rFonts w:hint="eastAsia" w:cs="宋体"/>
                <w:b w:val="0"/>
                <w:bCs w:val="0"/>
                <w:i w:val="0"/>
                <w:iCs w:val="0"/>
                <w:color w:val="auto"/>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42"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数据交换</w:t>
            </w:r>
          </w:p>
        </w:tc>
        <w:tc>
          <w:tcPr>
            <w:tcW w:w="6579"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42"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非功能需求与约束</w:t>
            </w:r>
          </w:p>
        </w:tc>
        <w:tc>
          <w:tcPr>
            <w:tcW w:w="6579"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942"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异常处理</w:t>
            </w:r>
          </w:p>
        </w:tc>
        <w:tc>
          <w:tcPr>
            <w:tcW w:w="6579"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发生系统异常时，提示”数据接收处理失败”回执报文内容给企业</w:t>
            </w:r>
          </w:p>
        </w:tc>
      </w:tr>
    </w:tbl>
    <w:p>
      <w:pPr>
        <w:numPr>
          <w:ilvl w:val="3"/>
          <w:numId w:val="7"/>
        </w:numPr>
        <w:bidi w:val="0"/>
        <w:ind w:left="0" w:firstLine="0"/>
        <w:rPr>
          <w:rFonts w:hint="eastAsia" w:ascii="黑体" w:hAnsi="黑体" w:cs="黑体"/>
          <w:bCs w:val="0"/>
          <w:szCs w:val="21"/>
          <w:lang w:val="en-US" w:eastAsia="zh-CN"/>
        </w:rPr>
      </w:pPr>
      <w:r>
        <w:rPr>
          <w:rFonts w:hint="eastAsia" w:ascii="宋体" w:eastAsia="宋体"/>
          <w:lang w:val="en-US" w:eastAsia="zh-CN"/>
        </w:rPr>
        <w:t>退货理货明细申报接口</w:t>
      </w:r>
      <w:r>
        <w:rPr>
          <w:rFonts w:hint="eastAsia"/>
          <w:lang w:val="en-US" w:eastAsia="zh-CN"/>
        </w:rPr>
        <w:t>报文</w:t>
      </w:r>
      <w:r>
        <w:rPr>
          <w:rFonts w:hint="eastAsia" w:ascii="宋体" w:eastAsia="宋体"/>
          <w:lang w:val="en-US" w:eastAsia="zh-CN"/>
        </w:rPr>
        <w:t>应包含的业务字段见表</w:t>
      </w:r>
      <w:r>
        <w:rPr>
          <w:rFonts w:hint="eastAsia"/>
          <w:lang w:val="en-US" w:eastAsia="zh-CN"/>
        </w:rPr>
        <w:t>8</w:t>
      </w:r>
      <w:r>
        <w:rPr>
          <w:rFonts w:hint="eastAsia" w:ascii="宋体" w:eastAsia="宋体"/>
          <w:lang w:val="en-US" w:eastAsia="zh-CN"/>
        </w:rPr>
        <w:t>、表</w:t>
      </w:r>
      <w:r>
        <w:rPr>
          <w:rFonts w:hint="eastAsia"/>
          <w:lang w:val="en-US" w:eastAsia="zh-CN"/>
        </w:rPr>
        <w:t>9</w:t>
      </w:r>
      <w:r>
        <w:rPr>
          <w:rFonts w:hint="eastAsia" w:ascii="宋体" w:eastAsia="宋体"/>
          <w:lang w:val="en-US" w:eastAsia="zh-CN"/>
        </w:rPr>
        <w:t>。</w:t>
      </w:r>
    </w:p>
    <w:p>
      <w:pPr>
        <w:pStyle w:val="5"/>
        <w:numPr>
          <w:ilvl w:val="255"/>
          <w:numId w:val="0"/>
        </w:numPr>
        <w:tabs>
          <w:tab w:val="left" w:pos="0"/>
        </w:tabs>
        <w:spacing w:before="156" w:after="156"/>
        <w:rPr>
          <w:rFonts w:hint="default"/>
          <w:lang w:val="en-US" w:eastAsia="zh-CN"/>
        </w:rPr>
      </w:pPr>
      <w:r>
        <w:rPr>
          <w:rFonts w:hint="eastAsia" w:ascii="黑体" w:hAnsi="黑体" w:cs="黑体"/>
          <w:bCs w:val="0"/>
          <w:szCs w:val="21"/>
          <w:lang w:val="en-US" w:eastAsia="zh-CN"/>
        </w:rPr>
        <w:t>表8  表头字段</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671"/>
        <w:gridCol w:w="3011"/>
        <w:gridCol w:w="18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bottom w:val="single" w:color="auto" w:sz="12" w:space="0"/>
            </w:tcBorders>
            <w:noWrap w:val="0"/>
            <w:vAlign w:val="top"/>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表头字段</w:t>
            </w:r>
          </w:p>
        </w:tc>
        <w:tc>
          <w:tcPr>
            <w:tcW w:w="3011" w:type="dxa"/>
            <w:tcBorders>
              <w:bottom w:val="single" w:color="auto" w:sz="12" w:space="0"/>
            </w:tcBorders>
            <w:noWrap w:val="0"/>
            <w:vAlign w:val="top"/>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是否与正向出口数据比对</w:t>
            </w:r>
          </w:p>
        </w:tc>
        <w:tc>
          <w:tcPr>
            <w:tcW w:w="1839" w:type="dxa"/>
            <w:tcBorders>
              <w:bottom w:val="single" w:color="auto" w:sz="12" w:space="0"/>
            </w:tcBorders>
            <w:noWrap w:val="0"/>
            <w:vAlign w:val="top"/>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是否必填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op w:val="single" w:color="auto" w:sz="12" w:space="0"/>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退货提运单号</w:t>
            </w:r>
          </w:p>
        </w:tc>
        <w:tc>
          <w:tcPr>
            <w:tcW w:w="3011" w:type="dxa"/>
            <w:tcBorders>
              <w:top w:val="single" w:color="auto" w:sz="12" w:space="0"/>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N</w:t>
            </w:r>
          </w:p>
        </w:tc>
        <w:tc>
          <w:tcPr>
            <w:tcW w:w="1839" w:type="dxa"/>
            <w:tcBorders>
              <w:top w:val="single" w:color="auto" w:sz="12" w:space="0"/>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入场交通工具号码</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N</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监管场所编码</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N</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bl>
    <w:p>
      <w:pPr>
        <w:pStyle w:val="5"/>
        <w:numPr>
          <w:ilvl w:val="255"/>
          <w:numId w:val="0"/>
        </w:numPr>
        <w:tabs>
          <w:tab w:val="left" w:pos="0"/>
        </w:tabs>
        <w:spacing w:before="156" w:after="156"/>
        <w:rPr>
          <w:rFonts w:hint="default"/>
          <w:lang w:val="en-US" w:eastAsia="zh-CN"/>
        </w:rPr>
      </w:pPr>
      <w:r>
        <w:rPr>
          <w:rFonts w:hint="eastAsia" w:ascii="黑体" w:hAnsi="黑体" w:cs="黑体"/>
          <w:bCs w:val="0"/>
          <w:szCs w:val="21"/>
          <w:lang w:val="en-US" w:eastAsia="zh-CN"/>
        </w:rPr>
        <w:t>表9  表体字段</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671"/>
        <w:gridCol w:w="3011"/>
        <w:gridCol w:w="18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bottom w:val="single" w:color="auto" w:sz="12" w:space="0"/>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表体字段</w:t>
            </w:r>
          </w:p>
        </w:tc>
        <w:tc>
          <w:tcPr>
            <w:tcW w:w="3011" w:type="dxa"/>
            <w:tcBorders>
              <w:bottom w:val="single" w:color="auto" w:sz="12" w:space="0"/>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是否与正向出口数据比对</w:t>
            </w:r>
          </w:p>
        </w:tc>
        <w:tc>
          <w:tcPr>
            <w:tcW w:w="1839" w:type="dxa"/>
            <w:tcBorders>
              <w:bottom w:val="single" w:color="auto" w:sz="12" w:space="0"/>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是否必填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op w:val="single" w:color="auto" w:sz="12" w:space="0"/>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退货总包号</w:t>
            </w:r>
          </w:p>
        </w:tc>
        <w:tc>
          <w:tcPr>
            <w:tcW w:w="3011" w:type="dxa"/>
            <w:tcBorders>
              <w:top w:val="single" w:color="auto" w:sz="12" w:space="0"/>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N</w:t>
            </w:r>
          </w:p>
        </w:tc>
        <w:tc>
          <w:tcPr>
            <w:tcW w:w="1839" w:type="dxa"/>
            <w:tcBorders>
              <w:top w:val="single" w:color="auto" w:sz="12" w:space="0"/>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退货申报企业名称</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N</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退货申报企业编码</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N</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退货物流企业名称</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N</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367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退货物流企业编码</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N</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退货运单号</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N</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毛重</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N</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367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理货状态(（1）理货正常；（2）理货异常)</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N</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l2br w:val="nil"/>
              <w:tr2bl w:val="nil"/>
            </w:tcBorders>
            <w:noWrap w:val="0"/>
            <w:vAlign w:val="center"/>
          </w:tcPr>
          <w:p>
            <w:pPr>
              <w:widowControl/>
              <w:jc w:val="left"/>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理货异常原因(01品名不符</w:t>
            </w:r>
            <w:r>
              <w:rPr>
                <w:rFonts w:hint="eastAsia" w:ascii="宋体" w:hAnsi="宋体" w:eastAsia="宋体" w:cs="宋体"/>
                <w:b w:val="0"/>
                <w:bCs w:val="0"/>
                <w:i w:val="0"/>
                <w:iCs w:val="0"/>
                <w:color w:val="000000"/>
                <w:kern w:val="0"/>
                <w:sz w:val="18"/>
                <w:szCs w:val="18"/>
                <w:lang w:eastAsia="zh-CN"/>
              </w:rPr>
              <w:t>，</w:t>
            </w:r>
            <w:r>
              <w:rPr>
                <w:rFonts w:hint="eastAsia" w:ascii="宋体" w:hAnsi="宋体" w:eastAsia="宋体" w:cs="宋体"/>
                <w:b w:val="0"/>
                <w:bCs w:val="0"/>
                <w:i w:val="0"/>
                <w:iCs w:val="0"/>
                <w:color w:val="000000"/>
                <w:kern w:val="0"/>
                <w:sz w:val="18"/>
                <w:szCs w:val="18"/>
              </w:rPr>
              <w:t>02数量不符，03重量不符</w:t>
            </w:r>
            <w:r>
              <w:rPr>
                <w:rFonts w:hint="eastAsia" w:ascii="宋体" w:hAnsi="宋体" w:eastAsia="宋体" w:cs="宋体"/>
                <w:b w:val="0"/>
                <w:bCs w:val="0"/>
                <w:i w:val="0"/>
                <w:iCs w:val="0"/>
                <w:color w:val="000000"/>
                <w:kern w:val="0"/>
                <w:sz w:val="18"/>
                <w:szCs w:val="18"/>
                <w:lang w:eastAsia="zh-CN"/>
              </w:rPr>
              <w:t>，</w:t>
            </w:r>
            <w:r>
              <w:rPr>
                <w:rFonts w:hint="eastAsia" w:ascii="宋体" w:hAnsi="宋体" w:eastAsia="宋体" w:cs="宋体"/>
                <w:b w:val="0"/>
                <w:bCs w:val="0"/>
                <w:i w:val="0"/>
                <w:iCs w:val="0"/>
                <w:color w:val="000000"/>
                <w:kern w:val="0"/>
                <w:sz w:val="18"/>
                <w:szCs w:val="18"/>
              </w:rPr>
              <w:t>04其他)</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N</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出场车牌号(放行离场时对应的车牌号)</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N</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sz w:val="18"/>
                <w:szCs w:val="18"/>
              </w:rPr>
              <w:t>商品项号</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sz w:val="18"/>
                <w:szCs w:val="18"/>
              </w:rPr>
              <w:t>Y</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商品名称</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商品编码</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367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规格型号</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申报数量</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申报计量单位</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8521" w:type="dxa"/>
            <w:gridSpan w:val="3"/>
            <w:tcBorders>
              <w:tl2br w:val="nil"/>
              <w:tr2bl w:val="nil"/>
            </w:tcBorders>
            <w:noWrap w:val="0"/>
            <w:vAlign w:val="center"/>
          </w:tcPr>
          <w:p>
            <w:pPr>
              <w:widowControl/>
              <w:jc w:val="left"/>
              <w:rPr>
                <w:rFonts w:hint="eastAsia" w:ascii="宋体" w:hAnsi="宋体" w:eastAsia="宋体" w:cs="宋体"/>
                <w:b w:val="0"/>
                <w:bCs w:val="0"/>
                <w:i w:val="0"/>
                <w:iCs w:val="0"/>
                <w:color w:val="000000"/>
                <w:kern w:val="0"/>
                <w:sz w:val="18"/>
                <w:szCs w:val="18"/>
              </w:rPr>
            </w:pPr>
            <w:bookmarkStart w:id="68" w:name="_Toc25614"/>
            <w:bookmarkStart w:id="69" w:name="_Toc24775"/>
            <w:r>
              <w:rPr>
                <w:rFonts w:hint="eastAsia" w:ascii="宋体" w:hAnsi="宋体" w:eastAsia="宋体" w:cs="宋体"/>
                <w:b w:val="0"/>
                <w:bCs w:val="0"/>
                <w:i w:val="0"/>
                <w:iCs w:val="0"/>
                <w:color w:val="000000"/>
                <w:kern w:val="0"/>
                <w:sz w:val="18"/>
                <w:szCs w:val="18"/>
                <w:lang w:val="en-US" w:eastAsia="zh-CN"/>
              </w:rPr>
              <w:t>注：Y表示“是”、N表示“否”</w:t>
            </w:r>
          </w:p>
        </w:tc>
      </w:tr>
    </w:tbl>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r>
        <w:rPr>
          <w:rFonts w:hint="default" w:hAnsi="Times New Roman" w:cs="Times New Roman"/>
          <w:color w:val="000000"/>
          <w:highlight w:val="none"/>
          <w:lang w:val="en-US" w:eastAsia="zh-CN"/>
        </w:rPr>
        <w:t>系统自动三单审单任务</w:t>
      </w:r>
      <w:bookmarkEnd w:id="68"/>
      <w:bookmarkEnd w:id="69"/>
    </w:p>
    <w:p>
      <w:pPr>
        <w:numPr>
          <w:ilvl w:val="0"/>
          <w:numId w:val="0"/>
        </w:numPr>
        <w:tabs>
          <w:tab w:val="left" w:pos="0"/>
        </w:tabs>
        <w:bidi w:val="0"/>
        <w:ind w:firstLine="420" w:firstLineChars="200"/>
        <w:rPr>
          <w:rFonts w:hint="eastAsia" w:ascii="宋体" w:eastAsia="宋体"/>
          <w:lang w:val="en-US" w:eastAsia="zh-CN"/>
        </w:rPr>
      </w:pPr>
      <w:r>
        <w:rPr>
          <w:rFonts w:hint="eastAsia" w:ascii="宋体" w:eastAsia="宋体"/>
          <w:lang w:val="en-US" w:eastAsia="zh-CN"/>
        </w:rPr>
        <w:t>系统自动三单审单任务具体内容见表</w:t>
      </w:r>
      <w:r>
        <w:rPr>
          <w:rFonts w:hint="eastAsia"/>
          <w:lang w:val="en-US" w:eastAsia="zh-CN"/>
        </w:rPr>
        <w:t>10</w:t>
      </w:r>
      <w:r>
        <w:rPr>
          <w:rFonts w:hint="eastAsia" w:ascii="宋体" w:eastAsia="宋体"/>
          <w:lang w:val="en-US" w:eastAsia="zh-CN"/>
        </w:rPr>
        <w:t>。</w:t>
      </w:r>
    </w:p>
    <w:p>
      <w:pPr>
        <w:pStyle w:val="5"/>
        <w:numPr>
          <w:ilvl w:val="255"/>
          <w:numId w:val="0"/>
        </w:numPr>
        <w:tabs>
          <w:tab w:val="left" w:pos="0"/>
        </w:tabs>
        <w:spacing w:before="156" w:after="156"/>
        <w:rPr>
          <w:rFonts w:hint="default"/>
          <w:lang w:val="en-US" w:eastAsia="zh-CN"/>
        </w:rPr>
      </w:pPr>
      <w:r>
        <w:rPr>
          <w:rFonts w:hint="eastAsia" w:ascii="黑体" w:hAnsi="黑体" w:cs="黑体"/>
          <w:bCs w:val="0"/>
          <w:szCs w:val="21"/>
          <w:lang w:val="en-US" w:eastAsia="zh-CN"/>
        </w:rPr>
        <w:t>表10  系统自动三单审单任务</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71"/>
        <w:gridCol w:w="66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871" w:type="dxa"/>
            <w:tcBorders>
              <w:bottom w:val="single" w:color="auto" w:sz="12" w:space="0"/>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功能名称</w:t>
            </w:r>
          </w:p>
        </w:tc>
        <w:tc>
          <w:tcPr>
            <w:tcW w:w="6650" w:type="dxa"/>
            <w:tcBorders>
              <w:bottom w:val="single" w:color="auto" w:sz="12" w:space="0"/>
            </w:tcBorders>
            <w:shd w:val="clear" w:color="auto" w:fill="auto"/>
            <w:noWrap w:val="0"/>
            <w:vAlign w:val="top"/>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系统自动三单审单任务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业务描述</w:t>
            </w:r>
          </w:p>
        </w:tc>
        <w:tc>
          <w:tcPr>
            <w:tcW w:w="6650"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系统判断退货所需订单、物流单、理货明细单是否已经入库，三单数据入库成功后，校验相关数据，自动放行或者退单。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使用对象</w:t>
            </w:r>
          </w:p>
        </w:tc>
        <w:tc>
          <w:tcPr>
            <w:tcW w:w="6650"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使用条件</w:t>
            </w:r>
          </w:p>
        </w:tc>
        <w:tc>
          <w:tcPr>
            <w:tcW w:w="6650"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操作流程</w:t>
            </w:r>
          </w:p>
        </w:tc>
        <w:tc>
          <w:tcPr>
            <w:tcW w:w="6650"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业务规则</w:t>
            </w:r>
          </w:p>
        </w:tc>
        <w:tc>
          <w:tcPr>
            <w:tcW w:w="6650"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lang w:eastAsia="zh-CN"/>
              </w:rPr>
            </w:pPr>
            <w:r>
              <w:rPr>
                <w:rFonts w:hint="eastAsia" w:ascii="宋体" w:hAnsi="宋体" w:eastAsia="宋体" w:cs="宋体"/>
                <w:b w:val="0"/>
                <w:bCs w:val="0"/>
                <w:i w:val="0"/>
                <w:iCs w:val="0"/>
                <w:sz w:val="18"/>
                <w:szCs w:val="18"/>
              </w:rPr>
              <w:t>1.系统定时（不大于5分钟）扫描，退货订单数据，根据订单的出口运单号、出口物流企业编号字段关联退货物流单，根据退货物流单的退货运单号、退货物流企业编号关联理货明细单，三单能关联，且订单状态为“待理货”的则进入数据比对环节</w:t>
            </w:r>
            <w:r>
              <w:rPr>
                <w:rFonts w:hint="eastAsia" w:cs="宋体"/>
                <w:b w:val="0"/>
                <w:bCs w:val="0"/>
                <w:i w:val="0"/>
                <w:iCs w:val="0"/>
                <w:sz w:val="18"/>
                <w:szCs w:val="18"/>
                <w:lang w:eastAsia="zh-CN"/>
              </w:rPr>
              <w:t>。</w:t>
            </w:r>
          </w:p>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2.三单比对逻辑</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a.退货订单、理货明细单的毛重字段必须小于物流单毛重，不通过则提升“毛重校验不通过常”</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b.退货订单商品信息，按项号与理货明细单商品信息做对比</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商品名称、商品编码、规格型号、申报数量、申报计量单位，对比不通过提示“商品信息校验不通过”</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c.比对理货明细单与物流单的监管场地代码、退货提运单号，比对不通过则提提示“监管场地不通过”，“提运单号校验不通过”</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d.只有理货状态正常的订单进入比对逻辑，异常的则直接更新订单为退单，退单原因为“理货异常信息”。发送回执给企业。</w:t>
            </w:r>
          </w:p>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3.比对通过则将退货订单状态更新为“人工审核”状态，并发送订单“等待海关人工审核”回执给企业。</w:t>
            </w:r>
          </w:p>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4.自动审单退单后，重新申报退货订单后，系统即重新进入审单动作，无需再次申报其他单证。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业务数据</w:t>
            </w:r>
          </w:p>
        </w:tc>
        <w:tc>
          <w:tcPr>
            <w:tcW w:w="6650"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数据交换</w:t>
            </w:r>
          </w:p>
        </w:tc>
        <w:tc>
          <w:tcPr>
            <w:tcW w:w="6650"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非功能需求与约束</w:t>
            </w:r>
          </w:p>
        </w:tc>
        <w:tc>
          <w:tcPr>
            <w:tcW w:w="6650"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异常处理</w:t>
            </w:r>
          </w:p>
        </w:tc>
        <w:tc>
          <w:tcPr>
            <w:tcW w:w="6650"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bl>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bookmarkStart w:id="70" w:name="_Toc30173"/>
      <w:bookmarkStart w:id="71" w:name="_Toc29966"/>
      <w:r>
        <w:rPr>
          <w:rFonts w:hint="default" w:hAnsi="Times New Roman" w:cs="Times New Roman"/>
          <w:color w:val="000000"/>
          <w:highlight w:val="none"/>
          <w:lang w:val="en-US" w:eastAsia="zh-CN"/>
        </w:rPr>
        <w:t>物流妥投、总署退单信息申报接口</w:t>
      </w:r>
      <w:bookmarkEnd w:id="70"/>
      <w:bookmarkEnd w:id="71"/>
    </w:p>
    <w:p>
      <w:pPr>
        <w:numPr>
          <w:ilvl w:val="3"/>
          <w:numId w:val="7"/>
        </w:numPr>
        <w:bidi w:val="0"/>
        <w:ind w:left="0" w:firstLine="0"/>
        <w:rPr>
          <w:rFonts w:hint="eastAsia" w:ascii="宋体" w:eastAsia="宋体"/>
          <w:lang w:val="en-US" w:eastAsia="zh-CN"/>
        </w:rPr>
      </w:pPr>
      <w:r>
        <w:rPr>
          <w:rFonts w:hint="eastAsia" w:ascii="宋体" w:eastAsia="宋体"/>
          <w:lang w:val="en-US" w:eastAsia="zh-CN"/>
        </w:rPr>
        <w:t>物流妥投、总署退单信息申报</w:t>
      </w:r>
      <w:r>
        <w:rPr>
          <w:rFonts w:hint="eastAsia"/>
          <w:lang w:val="en-US" w:eastAsia="zh-CN"/>
        </w:rPr>
        <w:t>功能</w:t>
      </w:r>
      <w:r>
        <w:rPr>
          <w:rFonts w:hint="eastAsia" w:ascii="宋体" w:eastAsia="宋体"/>
          <w:lang w:val="en-US" w:eastAsia="zh-CN"/>
        </w:rPr>
        <w:t>具体内容见表</w:t>
      </w:r>
      <w:r>
        <w:rPr>
          <w:rFonts w:hint="eastAsia"/>
          <w:lang w:val="en-US" w:eastAsia="zh-CN"/>
        </w:rPr>
        <w:t>11</w:t>
      </w:r>
      <w:r>
        <w:rPr>
          <w:rFonts w:hint="eastAsia" w:ascii="宋体" w:eastAsia="宋体"/>
          <w:lang w:val="en-US" w:eastAsia="zh-CN"/>
        </w:rPr>
        <w:t>。</w:t>
      </w:r>
    </w:p>
    <w:p>
      <w:pPr>
        <w:pStyle w:val="5"/>
        <w:numPr>
          <w:ilvl w:val="255"/>
          <w:numId w:val="0"/>
        </w:numPr>
        <w:tabs>
          <w:tab w:val="left" w:pos="0"/>
        </w:tabs>
        <w:spacing w:before="156" w:after="156"/>
        <w:rPr>
          <w:rFonts w:hint="default"/>
          <w:lang w:val="en-US" w:eastAsia="zh-CN"/>
        </w:rPr>
      </w:pPr>
      <w:r>
        <w:rPr>
          <w:rFonts w:hint="eastAsia" w:ascii="黑体" w:hAnsi="黑体" w:cs="黑体"/>
          <w:bCs w:val="0"/>
          <w:szCs w:val="21"/>
          <w:lang w:val="en-US" w:eastAsia="zh-CN"/>
        </w:rPr>
        <w:t>表11  物流妥投、总署退单信息申报接口功能</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17"/>
        <w:gridCol w:w="68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17" w:type="dxa"/>
            <w:tcBorders>
              <w:bottom w:val="single" w:color="auto" w:sz="12" w:space="0"/>
            </w:tcBorders>
            <w:shd w:val="clear" w:color="auto" w:fill="auto"/>
            <w:noWrap w:val="0"/>
            <w:vAlign w:val="center"/>
          </w:tcPr>
          <w:p>
            <w:pPr>
              <w:jc w:val="cente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功能名称</w:t>
            </w:r>
          </w:p>
        </w:tc>
        <w:tc>
          <w:tcPr>
            <w:tcW w:w="6804" w:type="dxa"/>
            <w:tcBorders>
              <w:bottom w:val="single" w:color="auto" w:sz="12" w:space="0"/>
            </w:tcBorders>
            <w:shd w:val="clear" w:color="auto" w:fill="auto"/>
            <w:noWrap w:val="0"/>
            <w:vAlign w:val="center"/>
          </w:tcPr>
          <w:p>
            <w:pPr>
              <w:jc w:val="cente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物流妥投、总署退单信息申报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1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业务描述</w:t>
            </w:r>
          </w:p>
        </w:tc>
        <w:tc>
          <w:tcPr>
            <w:tcW w:w="6804"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货物查验扣货的原因及销毁、或者放行后妥投至商家的状态、或退运货物被海关总署退单的数据补充申报申报。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1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使用对象</w:t>
            </w:r>
          </w:p>
        </w:tc>
        <w:tc>
          <w:tcPr>
            <w:tcW w:w="6804"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电商企业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1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使用条件</w:t>
            </w:r>
          </w:p>
        </w:tc>
        <w:tc>
          <w:tcPr>
            <w:tcW w:w="6804"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退货单证存在，如果是放行状态申报，则要求订单已审核通过。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1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操作流程</w:t>
            </w:r>
          </w:p>
        </w:tc>
        <w:tc>
          <w:tcPr>
            <w:tcW w:w="6804" w:type="dxa"/>
            <w:tcBorders>
              <w:tl2br w:val="nil"/>
              <w:tr2bl w:val="nil"/>
            </w:tcBorders>
            <w:shd w:val="clear" w:color="auto" w:fill="auto"/>
            <w:noWrap w:val="0"/>
            <w:vAlign w:val="center"/>
          </w:tcPr>
          <w:p>
            <w:pPr>
              <w:jc w:val="center"/>
              <w:rPr>
                <w:rFonts w:hint="default" w:ascii="宋体" w:hAnsi="宋体" w:eastAsia="宋体" w:cs="宋体"/>
                <w:b w:val="0"/>
                <w:bCs w:val="0"/>
                <w:i w:val="0"/>
                <w:iCs w:val="0"/>
                <w:sz w:val="18"/>
                <w:szCs w:val="18"/>
                <w:u w:val="none"/>
                <w:lang w:val="en-US" w:eastAsia="zh-CN"/>
              </w:rPr>
            </w:pPr>
            <w:r>
              <w:rPr>
                <w:rFonts w:hint="eastAsia" w:cs="宋体"/>
                <w:b w:val="0"/>
                <w:bCs w:val="0"/>
                <w:i w:val="0"/>
                <w:iCs w:val="0"/>
                <w:sz w:val="18"/>
                <w:szCs w:val="18"/>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1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业务规则</w:t>
            </w:r>
          </w:p>
        </w:tc>
        <w:tc>
          <w:tcPr>
            <w:tcW w:w="6804"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1.接收解析报文后，通过出口物流企业编号、出口运单号为业务主键，校验退货订单是否存在，不存在则退单，提示“出口退货订单不存在”</w:t>
            </w:r>
          </w:p>
          <w:p>
            <w:pP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2.退货订单存在，则根据表格字段说明判断必填项。符合则入库</w:t>
            </w:r>
          </w:p>
          <w:p>
            <w:pP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3.查询到原退货订单后，若是妥投信息更新退货订单妥投状态，如果报上来的是放行，则判断当前是否审核通过，否则不允许更新。若是销毁、退单扣货则更新订单状态。如是扣货，判断当前状态是否是“销毁”，销毁状态的不允许扣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1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业务数据</w:t>
            </w:r>
          </w:p>
        </w:tc>
        <w:tc>
          <w:tcPr>
            <w:tcW w:w="6804"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u w:val="none"/>
                <w:lang w:val="en-US" w:eastAsia="zh-CN"/>
              </w:rPr>
            </w:pPr>
            <w:r>
              <w:rPr>
                <w:rFonts w:hint="eastAsia" w:cs="宋体"/>
                <w:b w:val="0"/>
                <w:bCs w:val="0"/>
                <w:i w:val="0"/>
                <w:iCs w:val="0"/>
                <w:sz w:val="18"/>
                <w:szCs w:val="18"/>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1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数据交换</w:t>
            </w:r>
          </w:p>
        </w:tc>
        <w:tc>
          <w:tcPr>
            <w:tcW w:w="6804"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1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非功能需求与约束</w:t>
            </w:r>
          </w:p>
        </w:tc>
        <w:tc>
          <w:tcPr>
            <w:tcW w:w="6804"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1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异常处理</w:t>
            </w:r>
          </w:p>
        </w:tc>
        <w:tc>
          <w:tcPr>
            <w:tcW w:w="6804"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发生系统异常时，提示”数据接收处理失败”回执报文内容给企业</w:t>
            </w:r>
          </w:p>
        </w:tc>
      </w:tr>
    </w:tbl>
    <w:p>
      <w:pPr>
        <w:numPr>
          <w:ilvl w:val="3"/>
          <w:numId w:val="7"/>
        </w:numPr>
        <w:bidi w:val="0"/>
        <w:ind w:left="0" w:firstLine="0"/>
        <w:rPr>
          <w:rFonts w:hint="eastAsia" w:ascii="宋体" w:eastAsia="宋体"/>
          <w:lang w:val="en-US" w:eastAsia="zh-CN"/>
        </w:rPr>
      </w:pPr>
      <w:r>
        <w:rPr>
          <w:rFonts w:hint="eastAsia" w:ascii="黑体" w:hAnsi="黑体" w:cs="黑体"/>
          <w:bCs w:val="0"/>
          <w:szCs w:val="21"/>
          <w:lang w:val="en-US" w:eastAsia="zh-CN"/>
        </w:rPr>
        <w:t>物流妥投、总署退单信息申报接口</w:t>
      </w:r>
      <w:r>
        <w:rPr>
          <w:rFonts w:hint="eastAsia" w:ascii="宋体" w:eastAsia="宋体"/>
          <w:lang w:val="en-US" w:eastAsia="zh-CN"/>
        </w:rPr>
        <w:t>报文</w:t>
      </w:r>
      <w:r>
        <w:rPr>
          <w:rFonts w:hint="eastAsia"/>
          <w:lang w:val="en-US" w:eastAsia="zh-CN"/>
        </w:rPr>
        <w:t>应</w:t>
      </w:r>
      <w:r>
        <w:rPr>
          <w:rFonts w:hint="eastAsia" w:ascii="宋体" w:eastAsia="宋体"/>
          <w:lang w:val="en-US" w:eastAsia="zh-CN"/>
        </w:rPr>
        <w:t>包含</w:t>
      </w:r>
      <w:r>
        <w:rPr>
          <w:rFonts w:hint="eastAsia"/>
          <w:lang w:val="en-US" w:eastAsia="zh-CN"/>
        </w:rPr>
        <w:t>的</w:t>
      </w:r>
      <w:r>
        <w:rPr>
          <w:rFonts w:hint="eastAsia" w:ascii="宋体" w:eastAsia="宋体"/>
          <w:lang w:val="en-US" w:eastAsia="zh-CN"/>
        </w:rPr>
        <w:t>业务字段</w:t>
      </w:r>
      <w:r>
        <w:rPr>
          <w:rFonts w:hint="eastAsia"/>
          <w:lang w:val="en-US" w:eastAsia="zh-CN"/>
        </w:rPr>
        <w:t>见表12。</w:t>
      </w:r>
    </w:p>
    <w:p>
      <w:pPr>
        <w:pStyle w:val="5"/>
        <w:numPr>
          <w:ilvl w:val="255"/>
          <w:numId w:val="0"/>
        </w:numPr>
        <w:tabs>
          <w:tab w:val="left" w:pos="0"/>
        </w:tabs>
        <w:spacing w:before="156" w:after="156"/>
        <w:rPr>
          <w:rFonts w:hint="default"/>
          <w:lang w:val="en-US" w:eastAsia="zh-CN"/>
        </w:rPr>
      </w:pPr>
      <w:r>
        <w:rPr>
          <w:rFonts w:hint="eastAsia" w:ascii="黑体" w:hAnsi="黑体" w:cs="黑体"/>
          <w:bCs w:val="0"/>
          <w:szCs w:val="21"/>
          <w:lang w:val="en-US" w:eastAsia="zh-CN"/>
        </w:rPr>
        <w:t>表12  物流妥投、总署退单信息申报接口报文业务字段</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535"/>
        <w:gridCol w:w="2145"/>
        <w:gridCol w:w="28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535" w:type="dxa"/>
            <w:tcBorders>
              <w:bottom w:val="single" w:color="auto" w:sz="12" w:space="0"/>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字段</w:t>
            </w:r>
          </w:p>
        </w:tc>
        <w:tc>
          <w:tcPr>
            <w:tcW w:w="2145" w:type="dxa"/>
            <w:tcBorders>
              <w:bottom w:val="single" w:color="auto" w:sz="12" w:space="0"/>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是否与正向数据比对</w:t>
            </w:r>
          </w:p>
        </w:tc>
        <w:tc>
          <w:tcPr>
            <w:tcW w:w="2841" w:type="dxa"/>
            <w:tcBorders>
              <w:bottom w:val="single" w:color="auto" w:sz="12" w:space="0"/>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是否必填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535" w:type="dxa"/>
            <w:tcBorders>
              <w:top w:val="single" w:color="auto" w:sz="12" w:space="0"/>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出口运单号</w:t>
            </w:r>
          </w:p>
        </w:tc>
        <w:tc>
          <w:tcPr>
            <w:tcW w:w="2145" w:type="dxa"/>
            <w:tcBorders>
              <w:top w:val="single" w:color="auto" w:sz="12" w:space="0"/>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Y</w:t>
            </w:r>
          </w:p>
        </w:tc>
        <w:tc>
          <w:tcPr>
            <w:tcW w:w="2841" w:type="dxa"/>
            <w:tcBorders>
              <w:top w:val="single" w:color="auto" w:sz="12" w:space="0"/>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53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出口物流申报企业名称</w:t>
            </w:r>
          </w:p>
        </w:tc>
        <w:tc>
          <w:tcPr>
            <w:tcW w:w="214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N</w:t>
            </w:r>
          </w:p>
        </w:tc>
        <w:tc>
          <w:tcPr>
            <w:tcW w:w="284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53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出口物流申报企业编码</w:t>
            </w:r>
          </w:p>
        </w:tc>
        <w:tc>
          <w:tcPr>
            <w:tcW w:w="214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Y</w:t>
            </w:r>
          </w:p>
        </w:tc>
        <w:tc>
          <w:tcPr>
            <w:tcW w:w="284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53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包裹状态(放行、妥投、退单、销毁、扣货)</w:t>
            </w:r>
          </w:p>
        </w:tc>
        <w:tc>
          <w:tcPr>
            <w:tcW w:w="214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N</w:t>
            </w:r>
          </w:p>
        </w:tc>
        <w:tc>
          <w:tcPr>
            <w:tcW w:w="284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53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退货放行时间</w:t>
            </w:r>
          </w:p>
        </w:tc>
        <w:tc>
          <w:tcPr>
            <w:tcW w:w="214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N</w:t>
            </w:r>
          </w:p>
        </w:tc>
        <w:tc>
          <w:tcPr>
            <w:tcW w:w="284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Y（状态为放行时，该字段必填）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53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退货派送分拨渠道名称</w:t>
            </w:r>
          </w:p>
        </w:tc>
        <w:tc>
          <w:tcPr>
            <w:tcW w:w="214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N</w:t>
            </w:r>
          </w:p>
        </w:tc>
        <w:tc>
          <w:tcPr>
            <w:tcW w:w="284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状态为放行时有值必填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53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退货妥投时间</w:t>
            </w:r>
          </w:p>
        </w:tc>
        <w:tc>
          <w:tcPr>
            <w:tcW w:w="214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N</w:t>
            </w:r>
          </w:p>
        </w:tc>
        <w:tc>
          <w:tcPr>
            <w:tcW w:w="284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状态为妥投时，该字段必填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53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退货扣货时间</w:t>
            </w:r>
          </w:p>
        </w:tc>
        <w:tc>
          <w:tcPr>
            <w:tcW w:w="214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N</w:t>
            </w:r>
          </w:p>
        </w:tc>
        <w:tc>
          <w:tcPr>
            <w:tcW w:w="284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53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退货扣货原因</w:t>
            </w:r>
          </w:p>
        </w:tc>
        <w:tc>
          <w:tcPr>
            <w:tcW w:w="214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N</w:t>
            </w:r>
          </w:p>
        </w:tc>
        <w:tc>
          <w:tcPr>
            <w:tcW w:w="284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53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扣货销毁时间</w:t>
            </w:r>
          </w:p>
        </w:tc>
        <w:tc>
          <w:tcPr>
            <w:tcW w:w="214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N</w:t>
            </w:r>
          </w:p>
        </w:tc>
        <w:tc>
          <w:tcPr>
            <w:tcW w:w="284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状态为销毁时，该字段必填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521" w:type="dxa"/>
            <w:gridSpan w:val="3"/>
            <w:tcBorders>
              <w:tl2br w:val="nil"/>
              <w:tr2bl w:val="nil"/>
            </w:tcBorders>
            <w:noWrap w:val="0"/>
            <w:vAlign w:val="center"/>
          </w:tcPr>
          <w:p>
            <w:pPr>
              <w:widowControl/>
              <w:jc w:val="left"/>
              <w:rPr>
                <w:rFonts w:hint="eastAsia" w:ascii="宋体" w:hAnsi="宋体" w:eastAsia="宋体" w:cs="宋体"/>
                <w:b w:val="0"/>
                <w:bCs w:val="0"/>
                <w:i w:val="0"/>
                <w:iCs w:val="0"/>
                <w:color w:val="000000"/>
                <w:kern w:val="0"/>
                <w:sz w:val="18"/>
                <w:szCs w:val="18"/>
                <w:u w:val="none"/>
              </w:rPr>
            </w:pPr>
            <w:bookmarkStart w:id="72" w:name="_Toc28872"/>
            <w:bookmarkStart w:id="73" w:name="_Toc24690"/>
            <w:r>
              <w:rPr>
                <w:rFonts w:hint="eastAsia" w:ascii="宋体" w:hAnsi="宋体" w:eastAsia="宋体" w:cs="宋体"/>
                <w:b w:val="0"/>
                <w:bCs w:val="0"/>
                <w:i w:val="0"/>
                <w:iCs w:val="0"/>
                <w:color w:val="000000"/>
                <w:kern w:val="0"/>
                <w:sz w:val="18"/>
                <w:szCs w:val="18"/>
                <w:u w:val="none"/>
                <w:lang w:val="en-US" w:eastAsia="zh-CN"/>
              </w:rPr>
              <w:t>注：Y表示“是”、N表示“否”</w:t>
            </w:r>
          </w:p>
        </w:tc>
      </w:tr>
    </w:tbl>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r>
        <w:rPr>
          <w:rFonts w:hint="default" w:hAnsi="Times New Roman" w:cs="Times New Roman"/>
          <w:color w:val="000000"/>
          <w:highlight w:val="none"/>
          <w:lang w:val="en-US" w:eastAsia="zh-CN"/>
        </w:rPr>
        <w:t>企业回执发送接口</w:t>
      </w:r>
      <w:bookmarkEnd w:id="72"/>
      <w:bookmarkEnd w:id="73"/>
    </w:p>
    <w:p>
      <w:pPr>
        <w:numPr>
          <w:ilvl w:val="0"/>
          <w:numId w:val="0"/>
        </w:numPr>
        <w:tabs>
          <w:tab w:val="left" w:pos="0"/>
        </w:tabs>
        <w:bidi w:val="0"/>
        <w:ind w:leftChars="0" w:firstLine="420" w:firstLineChars="200"/>
        <w:rPr>
          <w:rFonts w:hint="default"/>
          <w:lang w:val="en-US" w:eastAsia="zh-CN"/>
        </w:rPr>
      </w:pPr>
      <w:r>
        <w:rPr>
          <w:rFonts w:hint="eastAsia" w:ascii="宋体" w:eastAsia="宋体"/>
          <w:lang w:val="en-US" w:eastAsia="zh-CN"/>
        </w:rPr>
        <w:t>企业回执发送接口功能具体内容见表</w:t>
      </w:r>
      <w:r>
        <w:rPr>
          <w:rFonts w:hint="eastAsia"/>
          <w:lang w:val="en-US" w:eastAsia="zh-CN"/>
        </w:rPr>
        <w:t>13</w:t>
      </w:r>
      <w:r>
        <w:rPr>
          <w:rFonts w:hint="eastAsia" w:ascii="宋体" w:eastAsia="宋体"/>
          <w:lang w:val="en-US" w:eastAsia="zh-CN"/>
        </w:rPr>
        <w:t>。</w:t>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表13  企业回执发送接口功能</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09"/>
        <w:gridCol w:w="67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09" w:type="dxa"/>
            <w:tcBorders>
              <w:bottom w:val="single" w:color="auto" w:sz="12" w:space="0"/>
            </w:tcBorders>
            <w:shd w:val="clear" w:color="auto" w:fill="auto"/>
            <w:noWrap w:val="0"/>
            <w:vAlign w:val="top"/>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功能名称</w:t>
            </w:r>
          </w:p>
        </w:tc>
        <w:tc>
          <w:tcPr>
            <w:tcW w:w="6712" w:type="dxa"/>
            <w:tcBorders>
              <w:bottom w:val="single" w:color="auto" w:sz="12" w:space="0"/>
            </w:tcBorders>
            <w:shd w:val="clear" w:color="auto" w:fill="auto"/>
            <w:noWrap w:val="0"/>
            <w:vAlign w:val="top"/>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企业回执发送接口功能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业务描述</w:t>
            </w:r>
          </w:p>
        </w:tc>
        <w:tc>
          <w:tcPr>
            <w:tcW w:w="6712" w:type="dxa"/>
            <w:tcBorders>
              <w:tl2br w:val="nil"/>
              <w:tr2bl w:val="nil"/>
            </w:tcBorders>
            <w:shd w:val="clear" w:color="auto" w:fill="auto"/>
            <w:noWrap w:val="0"/>
            <w:vAlign w:val="top"/>
          </w:tcPr>
          <w:p>
            <w:pPr>
              <w:jc w:val="left"/>
              <w:rPr>
                <w:rFonts w:hint="eastAsia" w:ascii="宋体" w:hAnsi="宋体" w:eastAsia="宋体" w:cs="宋体"/>
                <w:b w:val="0"/>
                <w:bCs w:val="0"/>
                <w:sz w:val="18"/>
                <w:szCs w:val="18"/>
              </w:rPr>
            </w:pPr>
            <w:r>
              <w:rPr>
                <w:rFonts w:hint="eastAsia" w:ascii="宋体" w:hAnsi="宋体" w:eastAsia="宋体" w:cs="宋体"/>
                <w:b w:val="0"/>
                <w:bCs w:val="0"/>
                <w:sz w:val="18"/>
                <w:szCs w:val="18"/>
              </w:rPr>
              <w:t>在企业申报数据处理后，或者系统自动审单产生的回执发送企业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使用对象</w:t>
            </w:r>
          </w:p>
        </w:tc>
        <w:tc>
          <w:tcPr>
            <w:tcW w:w="6712" w:type="dxa"/>
            <w:tcBorders>
              <w:tl2br w:val="nil"/>
              <w:tr2bl w:val="nil"/>
            </w:tcBorders>
            <w:shd w:val="clear" w:color="auto" w:fill="auto"/>
            <w:noWrap w:val="0"/>
            <w:vAlign w:val="top"/>
          </w:tcPr>
          <w:p>
            <w:pPr>
              <w:jc w:val="center"/>
              <w:rPr>
                <w:rFonts w:hint="eastAsia" w:ascii="宋体" w:hAnsi="宋体" w:eastAsia="宋体" w:cs="宋体"/>
                <w:b w:val="0"/>
                <w:bCs w:val="0"/>
                <w:sz w:val="18"/>
                <w:szCs w:val="18"/>
                <w:lang w:val="en-US" w:eastAsia="zh-CN"/>
              </w:rPr>
            </w:pPr>
            <w:r>
              <w:rPr>
                <w:rFonts w:hint="eastAsia" w:cs="宋体"/>
                <w:b w:val="0"/>
                <w:b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jc w:val="center"/>
        </w:trPr>
        <w:tc>
          <w:tcPr>
            <w:tcW w:w="1809"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使用条件</w:t>
            </w:r>
          </w:p>
        </w:tc>
        <w:tc>
          <w:tcPr>
            <w:tcW w:w="6712" w:type="dxa"/>
            <w:tcBorders>
              <w:tl2br w:val="nil"/>
              <w:tr2bl w:val="nil"/>
            </w:tcBorders>
            <w:shd w:val="clear" w:color="auto" w:fill="auto"/>
            <w:noWrap w:val="0"/>
            <w:vAlign w:val="top"/>
          </w:tcPr>
          <w:p>
            <w:pPr>
              <w:jc w:val="center"/>
              <w:rPr>
                <w:rFonts w:hint="eastAsia" w:ascii="宋体" w:hAnsi="宋体" w:eastAsia="宋体" w:cs="宋体"/>
                <w:b w:val="0"/>
                <w:bCs w:val="0"/>
                <w:sz w:val="18"/>
                <w:szCs w:val="18"/>
                <w:lang w:val="en-US" w:eastAsia="zh-CN"/>
              </w:rPr>
            </w:pPr>
            <w:r>
              <w:rPr>
                <w:rFonts w:hint="eastAsia" w:cs="宋体"/>
                <w:b w:val="0"/>
                <w:b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09"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操作流程</w:t>
            </w:r>
          </w:p>
        </w:tc>
        <w:tc>
          <w:tcPr>
            <w:tcW w:w="6712" w:type="dxa"/>
            <w:tcBorders>
              <w:tl2br w:val="nil"/>
              <w:tr2bl w:val="nil"/>
            </w:tcBorders>
            <w:shd w:val="clear" w:color="auto" w:fill="auto"/>
            <w:noWrap w:val="0"/>
            <w:vAlign w:val="top"/>
          </w:tcPr>
          <w:p>
            <w:pPr>
              <w:jc w:val="center"/>
              <w:rPr>
                <w:rFonts w:hint="eastAsia" w:ascii="宋体" w:hAnsi="宋体" w:eastAsia="宋体" w:cs="宋体"/>
                <w:b w:val="0"/>
                <w:bCs w:val="0"/>
                <w:sz w:val="18"/>
                <w:szCs w:val="18"/>
                <w:lang w:val="en-US" w:eastAsia="zh-CN"/>
              </w:rPr>
            </w:pPr>
            <w:r>
              <w:rPr>
                <w:rFonts w:hint="eastAsia" w:cs="宋体"/>
                <w:b w:val="0"/>
                <w:b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业务规则</w:t>
            </w:r>
          </w:p>
        </w:tc>
        <w:tc>
          <w:tcPr>
            <w:tcW w:w="6712" w:type="dxa"/>
            <w:tcBorders>
              <w:tl2br w:val="nil"/>
              <w:tr2bl w:val="nil"/>
            </w:tcBorders>
            <w:shd w:val="clear" w:color="auto" w:fill="auto"/>
            <w:noWrap w:val="0"/>
            <w:vAlign w:val="top"/>
          </w:tcPr>
          <w:p>
            <w:pPr>
              <w:rPr>
                <w:rFonts w:hint="eastAsia" w:ascii="宋体" w:hAnsi="宋体" w:eastAsia="宋体" w:cs="宋体"/>
                <w:b w:val="0"/>
                <w:bCs w:val="0"/>
                <w:sz w:val="18"/>
                <w:szCs w:val="18"/>
                <w:lang w:eastAsia="zh-CN"/>
              </w:rPr>
            </w:pPr>
            <w:r>
              <w:rPr>
                <w:rFonts w:hint="eastAsia" w:ascii="宋体" w:hAnsi="宋体" w:eastAsia="宋体" w:cs="宋体"/>
                <w:b w:val="0"/>
                <w:bCs w:val="0"/>
                <w:sz w:val="18"/>
                <w:szCs w:val="18"/>
              </w:rPr>
              <w:t>1.将数据申报处理后或者系统自动审单后产生的回执发送企业</w:t>
            </w:r>
            <w:r>
              <w:rPr>
                <w:rFonts w:hint="eastAsia" w:cs="宋体"/>
                <w:b w:val="0"/>
                <w:bCs w:val="0"/>
                <w:sz w:val="18"/>
                <w:szCs w:val="18"/>
                <w:lang w:eastAsia="zh-CN"/>
              </w:rPr>
              <w:t>。</w:t>
            </w:r>
          </w:p>
          <w:p>
            <w:pPr>
              <w:rPr>
                <w:rFonts w:hint="eastAsia" w:ascii="宋体" w:hAnsi="宋体" w:eastAsia="宋体" w:cs="宋体"/>
                <w:b w:val="0"/>
                <w:bCs w:val="0"/>
                <w:sz w:val="18"/>
                <w:szCs w:val="18"/>
                <w:lang w:eastAsia="zh-CN"/>
              </w:rPr>
            </w:pPr>
            <w:r>
              <w:rPr>
                <w:rFonts w:hint="eastAsia" w:ascii="宋体" w:hAnsi="宋体" w:eastAsia="宋体" w:cs="宋体"/>
                <w:b w:val="0"/>
                <w:bCs w:val="0"/>
                <w:sz w:val="18"/>
                <w:szCs w:val="18"/>
              </w:rPr>
              <w:t>2.回执包含回执类型、回执内容、回执产生时间、关联单号、处理结果发送给企业</w:t>
            </w:r>
            <w:r>
              <w:rPr>
                <w:rFonts w:hint="eastAsia" w:cs="宋体"/>
                <w:b w:val="0"/>
                <w:bCs w:val="0"/>
                <w:sz w:val="18"/>
                <w:szCs w:val="18"/>
                <w:lang w:eastAsia="zh-CN"/>
              </w:rPr>
              <w:t>。</w:t>
            </w:r>
            <w:r>
              <w:rPr>
                <w:rFonts w:hint="eastAsia" w:ascii="宋体" w:hAnsi="宋体" w:eastAsia="宋体" w:cs="宋体"/>
                <w:b w:val="0"/>
                <w:bCs w:val="0"/>
                <w:sz w:val="18"/>
                <w:szCs w:val="18"/>
              </w:rPr>
              <w:t>回执类型包含：订单申报、物流单申报、理货明细申报、系统自动审单、妥投&amp;总署放行</w:t>
            </w:r>
            <w:r>
              <w:rPr>
                <w:rFonts w:hint="eastAsia" w:cs="宋体"/>
                <w:b w:val="0"/>
                <w:bCs w:val="0"/>
                <w:sz w:val="18"/>
                <w:szCs w:val="18"/>
                <w:lang w:eastAsia="zh-CN"/>
              </w:rPr>
              <w:t>。</w:t>
            </w:r>
          </w:p>
          <w:p>
            <w:pPr>
              <w:rPr>
                <w:rFonts w:hint="eastAsia" w:ascii="宋体" w:hAnsi="宋体" w:eastAsia="宋体" w:cs="宋体"/>
                <w:b w:val="0"/>
                <w:bCs w:val="0"/>
                <w:sz w:val="18"/>
                <w:szCs w:val="18"/>
              </w:rPr>
            </w:pPr>
            <w:r>
              <w:rPr>
                <w:rFonts w:hint="eastAsia" w:ascii="宋体" w:hAnsi="宋体" w:eastAsia="宋体" w:cs="宋体"/>
                <w:b w:val="0"/>
                <w:bCs w:val="0"/>
                <w:sz w:val="18"/>
                <w:szCs w:val="18"/>
              </w:rPr>
              <w:t>3.回执接口报文标准保持与跨境通关服务平台一致。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09"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业务数据</w:t>
            </w:r>
          </w:p>
        </w:tc>
        <w:tc>
          <w:tcPr>
            <w:tcW w:w="6712" w:type="dxa"/>
            <w:tcBorders>
              <w:tl2br w:val="nil"/>
              <w:tr2bl w:val="nil"/>
            </w:tcBorders>
            <w:shd w:val="clear" w:color="auto" w:fill="auto"/>
            <w:noWrap w:val="0"/>
            <w:vAlign w:val="top"/>
          </w:tcPr>
          <w:p>
            <w:pPr>
              <w:jc w:val="center"/>
              <w:rPr>
                <w:rFonts w:hint="eastAsia" w:ascii="宋体" w:hAnsi="宋体" w:eastAsia="宋体" w:cs="宋体"/>
                <w:b w:val="0"/>
                <w:bCs w:val="0"/>
                <w:sz w:val="18"/>
                <w:szCs w:val="18"/>
                <w:lang w:val="en-US" w:eastAsia="zh-CN"/>
              </w:rPr>
            </w:pPr>
            <w:r>
              <w:rPr>
                <w:rFonts w:hint="eastAsia" w:cs="宋体"/>
                <w:b w:val="0"/>
                <w:b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09"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数据交换</w:t>
            </w:r>
          </w:p>
        </w:tc>
        <w:tc>
          <w:tcPr>
            <w:tcW w:w="6712" w:type="dxa"/>
            <w:tcBorders>
              <w:tl2br w:val="nil"/>
              <w:tr2bl w:val="nil"/>
            </w:tcBorders>
            <w:shd w:val="clear" w:color="auto" w:fill="auto"/>
            <w:noWrap w:val="0"/>
            <w:vAlign w:val="top"/>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09"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非功能需求与约束</w:t>
            </w:r>
          </w:p>
        </w:tc>
        <w:tc>
          <w:tcPr>
            <w:tcW w:w="6712" w:type="dxa"/>
            <w:tcBorders>
              <w:tl2br w:val="nil"/>
              <w:tr2bl w:val="nil"/>
            </w:tcBorders>
            <w:shd w:val="clear" w:color="auto" w:fill="auto"/>
            <w:noWrap w:val="0"/>
            <w:vAlign w:val="top"/>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09"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异常处理</w:t>
            </w:r>
          </w:p>
        </w:tc>
        <w:tc>
          <w:tcPr>
            <w:tcW w:w="6712" w:type="dxa"/>
            <w:tcBorders>
              <w:tl2br w:val="nil"/>
              <w:tr2bl w:val="nil"/>
            </w:tcBorders>
            <w:shd w:val="clear" w:color="auto" w:fill="auto"/>
            <w:noWrap w:val="0"/>
            <w:vAlign w:val="top"/>
          </w:tcPr>
          <w:p>
            <w:pPr>
              <w:jc w:val="center"/>
              <w:rPr>
                <w:rFonts w:hint="eastAsia" w:ascii="宋体" w:hAnsi="宋体" w:eastAsia="宋体" w:cs="宋体"/>
                <w:b w:val="0"/>
                <w:bCs w:val="0"/>
                <w:sz w:val="18"/>
                <w:szCs w:val="18"/>
                <w:lang w:val="en-US" w:eastAsia="zh-CN"/>
              </w:rPr>
            </w:pPr>
            <w:r>
              <w:rPr>
                <w:rFonts w:hint="eastAsia" w:cs="宋体"/>
                <w:b w:val="0"/>
                <w:bCs w:val="0"/>
                <w:sz w:val="18"/>
                <w:szCs w:val="18"/>
                <w:lang w:val="en-US" w:eastAsia="zh-CN"/>
              </w:rPr>
              <w:t>/</w:t>
            </w:r>
          </w:p>
        </w:tc>
      </w:tr>
    </w:tbl>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bookmarkStart w:id="74" w:name="_Toc3059"/>
      <w:bookmarkStart w:id="75" w:name="_Toc7242"/>
      <w:r>
        <w:rPr>
          <w:rFonts w:hint="default" w:hAnsi="Times New Roman" w:cs="Times New Roman"/>
          <w:color w:val="000000"/>
          <w:highlight w:val="none"/>
          <w:lang w:val="en-US" w:eastAsia="zh-CN"/>
        </w:rPr>
        <w:t>系统两单自动审单任务</w:t>
      </w:r>
      <w:bookmarkEnd w:id="74"/>
      <w:bookmarkEnd w:id="75"/>
    </w:p>
    <w:p>
      <w:pPr>
        <w:numPr>
          <w:ilvl w:val="0"/>
          <w:numId w:val="0"/>
        </w:numPr>
        <w:tabs>
          <w:tab w:val="left" w:pos="0"/>
        </w:tabs>
        <w:bidi w:val="0"/>
        <w:ind w:leftChars="0" w:firstLine="420" w:firstLineChars="200"/>
        <w:rPr>
          <w:rFonts w:hint="default"/>
          <w:lang w:val="en-US" w:eastAsia="zh-CN"/>
        </w:rPr>
      </w:pPr>
      <w:r>
        <w:rPr>
          <w:rFonts w:hint="eastAsia" w:ascii="宋体" w:eastAsia="宋体"/>
          <w:lang w:val="en-US" w:eastAsia="zh-CN"/>
        </w:rPr>
        <w:t>系统两单自动审单功能具体内容见表</w:t>
      </w:r>
      <w:r>
        <w:rPr>
          <w:rFonts w:hint="eastAsia"/>
          <w:lang w:val="en-US" w:eastAsia="zh-CN"/>
        </w:rPr>
        <w:t>14</w:t>
      </w:r>
      <w:r>
        <w:rPr>
          <w:rFonts w:hint="eastAsia" w:ascii="宋体" w:eastAsia="宋体"/>
          <w:lang w:val="en-US" w:eastAsia="zh-CN"/>
        </w:rPr>
        <w:t>。</w:t>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表14  系统两单自动审单功能</w:t>
      </w:r>
    </w:p>
    <w:tbl>
      <w:tblPr>
        <w:tblStyle w:val="17"/>
        <w:tblW w:w="8143"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46"/>
        <w:gridCol w:w="62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1846" w:type="dxa"/>
            <w:tcBorders>
              <w:bottom w:val="single" w:color="auto" w:sz="12" w:space="0"/>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功能名称</w:t>
            </w:r>
          </w:p>
        </w:tc>
        <w:tc>
          <w:tcPr>
            <w:tcW w:w="6297" w:type="dxa"/>
            <w:tcBorders>
              <w:bottom w:val="single" w:color="auto" w:sz="12" w:space="0"/>
            </w:tcBorders>
            <w:shd w:val="clear" w:color="auto" w:fill="auto"/>
            <w:noWrap w:val="0"/>
            <w:vAlign w:val="top"/>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系统两单自动审单功能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c>
          <w:tcPr>
            <w:tcW w:w="1846"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业务描述</w:t>
            </w:r>
          </w:p>
        </w:tc>
        <w:tc>
          <w:tcPr>
            <w:tcW w:w="6297" w:type="dxa"/>
            <w:tcBorders>
              <w:tl2br w:val="nil"/>
              <w:tr2bl w:val="nil"/>
            </w:tcBorders>
            <w:shd w:val="clear" w:color="auto" w:fill="auto"/>
            <w:noWrap w:val="0"/>
            <w:vAlign w:val="top"/>
          </w:tcPr>
          <w:p>
            <w:pPr>
              <w:rPr>
                <w:rFonts w:hint="eastAsia" w:ascii="宋体" w:hAnsi="宋体" w:eastAsia="宋体" w:cs="宋体"/>
                <w:b w:val="0"/>
                <w:bCs w:val="0"/>
                <w:sz w:val="18"/>
                <w:szCs w:val="18"/>
              </w:rPr>
            </w:pPr>
            <w:r>
              <w:rPr>
                <w:rFonts w:hint="eastAsia" w:ascii="宋体" w:hAnsi="宋体" w:eastAsia="宋体" w:cs="宋体"/>
                <w:b w:val="0"/>
                <w:bCs w:val="0"/>
                <w:sz w:val="18"/>
                <w:szCs w:val="18"/>
              </w:rPr>
              <w:t>系统判断退货所需订单、物流单是否已经入库，两单数据入库成功后，校验相关数据，自动审核或者退单。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1846"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使用对象</w:t>
            </w:r>
          </w:p>
        </w:tc>
        <w:tc>
          <w:tcPr>
            <w:tcW w:w="6297" w:type="dxa"/>
            <w:tcBorders>
              <w:tl2br w:val="nil"/>
              <w:tr2bl w:val="nil"/>
            </w:tcBorders>
            <w:shd w:val="clear" w:color="auto" w:fill="auto"/>
            <w:noWrap w:val="0"/>
            <w:vAlign w:val="top"/>
          </w:tcPr>
          <w:p>
            <w:pPr>
              <w:jc w:val="center"/>
              <w:rPr>
                <w:rFonts w:hint="eastAsia" w:ascii="宋体" w:hAnsi="宋体" w:eastAsia="宋体" w:cs="宋体"/>
                <w:b w:val="0"/>
                <w:bCs w:val="0"/>
                <w:sz w:val="18"/>
                <w:szCs w:val="18"/>
                <w:lang w:val="en-US" w:eastAsia="zh-CN"/>
              </w:rPr>
            </w:pPr>
            <w:r>
              <w:rPr>
                <w:rFonts w:hint="eastAsia" w:cs="宋体"/>
                <w:b w:val="0"/>
                <w:b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c>
          <w:tcPr>
            <w:tcW w:w="1846"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使用条件</w:t>
            </w:r>
          </w:p>
        </w:tc>
        <w:tc>
          <w:tcPr>
            <w:tcW w:w="6297" w:type="dxa"/>
            <w:tcBorders>
              <w:tl2br w:val="nil"/>
              <w:tr2bl w:val="nil"/>
            </w:tcBorders>
            <w:shd w:val="clear" w:color="auto" w:fill="auto"/>
            <w:noWrap w:val="0"/>
            <w:vAlign w:val="top"/>
          </w:tcPr>
          <w:p>
            <w:pPr>
              <w:jc w:val="center"/>
              <w:rPr>
                <w:rFonts w:hint="eastAsia" w:ascii="宋体" w:hAnsi="宋体" w:eastAsia="宋体" w:cs="宋体"/>
                <w:b w:val="0"/>
                <w:bCs w:val="0"/>
                <w:sz w:val="18"/>
                <w:szCs w:val="18"/>
                <w:lang w:val="en-US" w:eastAsia="zh-CN"/>
              </w:rPr>
            </w:pPr>
            <w:r>
              <w:rPr>
                <w:rFonts w:hint="eastAsia" w:cs="宋体"/>
                <w:b w:val="0"/>
                <w:b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1846"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操作流程</w:t>
            </w:r>
          </w:p>
        </w:tc>
        <w:tc>
          <w:tcPr>
            <w:tcW w:w="6297" w:type="dxa"/>
            <w:tcBorders>
              <w:tl2br w:val="nil"/>
              <w:tr2bl w:val="nil"/>
            </w:tcBorders>
            <w:shd w:val="clear" w:color="auto" w:fill="auto"/>
            <w:noWrap w:val="0"/>
            <w:vAlign w:val="top"/>
          </w:tcPr>
          <w:p>
            <w:pPr>
              <w:jc w:val="center"/>
              <w:rPr>
                <w:rFonts w:hint="eastAsia" w:ascii="宋体" w:hAnsi="宋体" w:eastAsia="宋体" w:cs="宋体"/>
                <w:b w:val="0"/>
                <w:bCs w:val="0"/>
                <w:sz w:val="18"/>
                <w:szCs w:val="18"/>
                <w:lang w:val="en-US" w:eastAsia="zh-CN"/>
              </w:rPr>
            </w:pPr>
            <w:r>
              <w:rPr>
                <w:rFonts w:hint="eastAsia" w:cs="宋体"/>
                <w:b w:val="0"/>
                <w:b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1846"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业务规则</w:t>
            </w:r>
          </w:p>
        </w:tc>
        <w:tc>
          <w:tcPr>
            <w:tcW w:w="6297" w:type="dxa"/>
            <w:tcBorders>
              <w:tl2br w:val="nil"/>
              <w:tr2bl w:val="nil"/>
            </w:tcBorders>
            <w:shd w:val="clear" w:color="auto" w:fill="auto"/>
            <w:noWrap w:val="0"/>
            <w:vAlign w:val="top"/>
          </w:tcPr>
          <w:p>
            <w:pPr>
              <w:rPr>
                <w:rFonts w:hint="eastAsia" w:ascii="宋体" w:hAnsi="宋体" w:eastAsia="宋体" w:cs="宋体"/>
                <w:b w:val="0"/>
                <w:bCs w:val="0"/>
                <w:sz w:val="18"/>
                <w:szCs w:val="18"/>
              </w:rPr>
            </w:pPr>
            <w:r>
              <w:rPr>
                <w:rFonts w:hint="eastAsia" w:ascii="宋体" w:hAnsi="宋体" w:eastAsia="宋体" w:cs="宋体"/>
                <w:b w:val="0"/>
                <w:bCs w:val="0"/>
                <w:sz w:val="18"/>
                <w:szCs w:val="18"/>
              </w:rPr>
              <w:t>1.系统定时（不大于5分钟）扫描，退货订单数据，根据订单的出口运单号、出口物流企业编号字段关联退货物流单，能关联到且状态为“待审核”，则进入审单环节。</w:t>
            </w:r>
          </w:p>
          <w:p>
            <w:pPr>
              <w:ind w:firstLine="90" w:firstLineChars="50"/>
              <w:rPr>
                <w:rFonts w:hint="eastAsia" w:ascii="宋体" w:hAnsi="宋体" w:eastAsia="宋体" w:cs="宋体"/>
                <w:b w:val="0"/>
                <w:bCs w:val="0"/>
                <w:sz w:val="18"/>
                <w:szCs w:val="18"/>
              </w:rPr>
            </w:pPr>
            <w:r>
              <w:rPr>
                <w:rFonts w:hint="eastAsia" w:ascii="宋体" w:hAnsi="宋体" w:eastAsia="宋体" w:cs="宋体"/>
                <w:b w:val="0"/>
                <w:bCs w:val="0"/>
                <w:sz w:val="18"/>
                <w:szCs w:val="18"/>
              </w:rPr>
              <w:t>2.两单比对逻辑</w:t>
            </w:r>
          </w:p>
          <w:p>
            <w:pPr>
              <w:ind w:firstLine="360" w:firstLineChars="200"/>
              <w:rPr>
                <w:rFonts w:hint="eastAsia" w:ascii="宋体" w:hAnsi="宋体" w:eastAsia="宋体" w:cs="宋体"/>
                <w:b w:val="0"/>
                <w:bCs w:val="0"/>
                <w:sz w:val="18"/>
                <w:szCs w:val="18"/>
              </w:rPr>
            </w:pPr>
            <w:r>
              <w:rPr>
                <w:rFonts w:hint="eastAsia" w:ascii="宋体" w:hAnsi="宋体" w:eastAsia="宋体" w:cs="宋体"/>
                <w:b w:val="0"/>
                <w:bCs w:val="0"/>
                <w:sz w:val="18"/>
                <w:szCs w:val="18"/>
              </w:rPr>
              <w:t>a．比对退货物流单出口运单号、出口物流申报企业名称、出口物流申报企业编码、出口离境口岸代码、出口离境时间、出口结关时间(该字段暂时不比)、出口运抵国别，比对不通过提示“物流信息申报异常”。</w:t>
            </w:r>
          </w:p>
          <w:p>
            <w:pPr>
              <w:ind w:firstLine="360" w:firstLineChars="200"/>
              <w:rPr>
                <w:rFonts w:hint="eastAsia" w:ascii="宋体" w:hAnsi="宋体" w:eastAsia="宋体" w:cs="宋体"/>
                <w:b w:val="0"/>
                <w:bCs w:val="0"/>
                <w:sz w:val="18"/>
                <w:szCs w:val="18"/>
                <w:lang w:eastAsia="zh-CN"/>
              </w:rPr>
            </w:pPr>
            <w:r>
              <w:rPr>
                <w:rFonts w:hint="eastAsia" w:ascii="宋体" w:hAnsi="宋体" w:eastAsia="宋体" w:cs="宋体"/>
                <w:b w:val="0"/>
                <w:bCs w:val="0"/>
                <w:sz w:val="18"/>
                <w:szCs w:val="18"/>
              </w:rPr>
              <w:t>b.当随机布控参数启用时，对所有审单单证按该参数设置的比百分比做命中处理。未命中</w:t>
            </w:r>
            <w:r>
              <w:rPr>
                <w:rFonts w:hint="eastAsia" w:ascii="宋体" w:hAnsi="宋体" w:eastAsia="宋体" w:cs="宋体"/>
                <w:b w:val="0"/>
                <w:bCs w:val="0"/>
                <w:color w:val="auto"/>
                <w:sz w:val="18"/>
                <w:szCs w:val="18"/>
                <w:highlight w:val="none"/>
              </w:rPr>
              <w:t>的</w:t>
            </w:r>
            <w:bookmarkStart w:id="214" w:name="_GoBack"/>
            <w:bookmarkEnd w:id="214"/>
            <w:r>
              <w:rPr>
                <w:rFonts w:hint="eastAsia" w:ascii="宋体" w:hAnsi="宋体" w:eastAsia="宋体" w:cs="宋体"/>
                <w:b w:val="0"/>
                <w:bCs w:val="0"/>
                <w:sz w:val="18"/>
                <w:szCs w:val="18"/>
              </w:rPr>
              <w:t>订单，继续与剩余启用的风控参数比对，将商品名称、hscode，国别，电商企业名称、编号，电商平台名称、编号，与对应关区海关设置的风险参数库（见5.3.2章节内容）逐个做比对，如果包含参数设置内容，则根据风控参数设置的命中比例将订单状态更新为“待理货”状态</w:t>
            </w:r>
          </w:p>
          <w:p>
            <w:pPr>
              <w:ind w:firstLine="360" w:firstLineChars="200"/>
              <w:rPr>
                <w:rFonts w:hint="eastAsia" w:ascii="宋体" w:hAnsi="宋体" w:eastAsia="宋体" w:cs="宋体"/>
                <w:b w:val="0"/>
                <w:bCs w:val="0"/>
                <w:sz w:val="18"/>
                <w:szCs w:val="18"/>
              </w:rPr>
            </w:pPr>
            <w:r>
              <w:rPr>
                <w:rFonts w:hint="eastAsia" w:ascii="宋体" w:hAnsi="宋体" w:eastAsia="宋体" w:cs="宋体"/>
                <w:b w:val="0"/>
                <w:bCs w:val="0"/>
                <w:sz w:val="18"/>
                <w:szCs w:val="18"/>
              </w:rPr>
              <w:t>c.比对通过且未命中风控参数的则将退货订单状态更新为“审核通过”状态，并发送订单“审核通过”回执给企业。</w:t>
            </w:r>
          </w:p>
          <w:p>
            <w:pPr>
              <w:ind w:firstLine="360" w:firstLineChars="200"/>
              <w:rPr>
                <w:rFonts w:hint="eastAsia" w:ascii="宋体" w:hAnsi="宋体" w:eastAsia="宋体" w:cs="宋体"/>
                <w:b w:val="0"/>
                <w:bCs w:val="0"/>
                <w:sz w:val="18"/>
                <w:szCs w:val="18"/>
              </w:rPr>
            </w:pPr>
            <w:r>
              <w:rPr>
                <w:rFonts w:hint="eastAsia" w:ascii="宋体" w:hAnsi="宋体" w:eastAsia="宋体" w:cs="宋体"/>
                <w:b w:val="0"/>
                <w:bCs w:val="0"/>
                <w:sz w:val="18"/>
                <w:szCs w:val="18"/>
              </w:rPr>
              <w:t>d.自动审单退单后，企业重新申报退货订单，系统即重新进入审单动作，无需再次申报其他单证。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1846"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业务数据</w:t>
            </w:r>
          </w:p>
        </w:tc>
        <w:tc>
          <w:tcPr>
            <w:tcW w:w="6297" w:type="dxa"/>
            <w:tcBorders>
              <w:tl2br w:val="nil"/>
              <w:tr2bl w:val="nil"/>
            </w:tcBorders>
            <w:shd w:val="clear" w:color="auto" w:fill="auto"/>
            <w:noWrap w:val="0"/>
            <w:vAlign w:val="top"/>
          </w:tcPr>
          <w:p>
            <w:pPr>
              <w:jc w:val="center"/>
              <w:rPr>
                <w:rFonts w:hint="eastAsia" w:ascii="宋体" w:hAnsi="宋体" w:eastAsia="宋体" w:cs="宋体"/>
                <w:b w:val="0"/>
                <w:bCs w:val="0"/>
                <w:sz w:val="18"/>
                <w:szCs w:val="18"/>
                <w:lang w:val="en-US" w:eastAsia="zh-CN"/>
              </w:rPr>
            </w:pPr>
            <w:r>
              <w:rPr>
                <w:rFonts w:hint="eastAsia" w:cs="宋体"/>
                <w:b w:val="0"/>
                <w:b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1846"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数据交换</w:t>
            </w:r>
          </w:p>
        </w:tc>
        <w:tc>
          <w:tcPr>
            <w:tcW w:w="6297" w:type="dxa"/>
            <w:tcBorders>
              <w:tl2br w:val="nil"/>
              <w:tr2bl w:val="nil"/>
            </w:tcBorders>
            <w:shd w:val="clear" w:color="auto" w:fill="auto"/>
            <w:noWrap w:val="0"/>
            <w:vAlign w:val="top"/>
          </w:tcPr>
          <w:p>
            <w:pPr>
              <w:rPr>
                <w:rFonts w:hint="eastAsia" w:ascii="宋体" w:hAnsi="宋体" w:eastAsia="宋体" w:cs="宋体"/>
                <w:b w:val="0"/>
                <w:bCs w:val="0"/>
                <w:sz w:val="18"/>
                <w:szCs w:val="18"/>
              </w:rPr>
            </w:pPr>
            <w:r>
              <w:rPr>
                <w:rFonts w:hint="eastAsia" w:ascii="宋体" w:hAnsi="宋体" w:eastAsia="宋体" w:cs="宋体"/>
                <w:b w:val="0"/>
                <w:b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1846"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非功能需求与约束</w:t>
            </w:r>
          </w:p>
        </w:tc>
        <w:tc>
          <w:tcPr>
            <w:tcW w:w="6297" w:type="dxa"/>
            <w:tcBorders>
              <w:tl2br w:val="nil"/>
              <w:tr2bl w:val="nil"/>
            </w:tcBorders>
            <w:shd w:val="clear" w:color="auto" w:fill="auto"/>
            <w:noWrap w:val="0"/>
            <w:vAlign w:val="top"/>
          </w:tcPr>
          <w:p>
            <w:pPr>
              <w:rPr>
                <w:rFonts w:hint="eastAsia" w:ascii="宋体" w:hAnsi="宋体" w:eastAsia="宋体" w:cs="宋体"/>
                <w:b w:val="0"/>
                <w:bCs w:val="0"/>
                <w:sz w:val="18"/>
                <w:szCs w:val="18"/>
              </w:rPr>
            </w:pPr>
            <w:r>
              <w:rPr>
                <w:rFonts w:hint="eastAsia" w:ascii="宋体" w:hAnsi="宋体" w:eastAsia="宋体" w:cs="宋体"/>
                <w:b w:val="0"/>
                <w:b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1846"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异常处理</w:t>
            </w:r>
          </w:p>
        </w:tc>
        <w:tc>
          <w:tcPr>
            <w:tcW w:w="6297" w:type="dxa"/>
            <w:tcBorders>
              <w:tl2br w:val="nil"/>
              <w:tr2bl w:val="nil"/>
            </w:tcBorders>
            <w:shd w:val="clear" w:color="auto" w:fill="auto"/>
            <w:noWrap w:val="0"/>
            <w:vAlign w:val="top"/>
          </w:tcPr>
          <w:p>
            <w:pPr>
              <w:jc w:val="center"/>
              <w:rPr>
                <w:rFonts w:hint="eastAsia" w:ascii="宋体" w:hAnsi="宋体" w:eastAsia="宋体" w:cs="宋体"/>
                <w:b w:val="0"/>
                <w:bCs w:val="0"/>
                <w:sz w:val="18"/>
                <w:szCs w:val="18"/>
                <w:lang w:val="en-US" w:eastAsia="zh-CN"/>
              </w:rPr>
            </w:pPr>
            <w:r>
              <w:rPr>
                <w:rFonts w:hint="eastAsia" w:cs="宋体"/>
                <w:b w:val="0"/>
                <w:bCs w:val="0"/>
                <w:sz w:val="18"/>
                <w:szCs w:val="18"/>
                <w:lang w:val="en-US" w:eastAsia="zh-CN"/>
              </w:rPr>
              <w:t>/</w:t>
            </w:r>
          </w:p>
        </w:tc>
      </w:tr>
    </w:tbl>
    <w:p>
      <w:pPr>
        <w:pStyle w:val="26"/>
        <w:numPr>
          <w:ilvl w:val="1"/>
          <w:numId w:val="7"/>
        </w:numPr>
        <w:spacing w:before="156" w:after="156"/>
        <w:outlineLvl w:val="1"/>
        <w:rPr>
          <w:rFonts w:hint="eastAsia" w:hAnsi="Times New Roman" w:cs="Times New Roman"/>
          <w:color w:val="000000"/>
          <w:highlight w:val="none"/>
          <w:lang w:val="en-US" w:eastAsia="zh-CN"/>
        </w:rPr>
      </w:pPr>
      <w:bookmarkStart w:id="76" w:name="_Toc10078"/>
      <w:r>
        <w:rPr>
          <w:rFonts w:hint="eastAsia" w:hAnsi="Times New Roman" w:cs="Times New Roman"/>
          <w:color w:val="000000"/>
          <w:highlight w:val="none"/>
          <w:lang w:val="en-US" w:eastAsia="zh-CN"/>
        </w:rPr>
        <w:t>申报数据管理功能</w:t>
      </w:r>
      <w:bookmarkEnd w:id="76"/>
    </w:p>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bookmarkStart w:id="77" w:name="_Toc508"/>
      <w:bookmarkStart w:id="78" w:name="_Toc7243"/>
      <w:r>
        <w:rPr>
          <w:rFonts w:hint="eastAsia" w:cs="Times New Roman"/>
          <w:color w:val="000000"/>
          <w:highlight w:val="none"/>
          <w:lang w:val="en-US" w:eastAsia="zh-CN"/>
        </w:rPr>
        <w:t>退货订单管理</w:t>
      </w:r>
      <w:bookmarkEnd w:id="77"/>
      <w:bookmarkEnd w:id="78"/>
    </w:p>
    <w:p>
      <w:pPr>
        <w:pStyle w:val="25"/>
        <w:rPr>
          <w:rFonts w:hint="default"/>
          <w:lang w:val="en-US" w:eastAsia="zh-CN"/>
        </w:rPr>
      </w:pPr>
      <w:r>
        <w:rPr>
          <w:rFonts w:hint="eastAsia" w:ascii="宋体" w:eastAsia="宋体"/>
          <w:lang w:val="en-US" w:eastAsia="zh-CN"/>
        </w:rPr>
        <w:t>退货订单管理</w:t>
      </w:r>
      <w:r>
        <w:rPr>
          <w:rFonts w:hint="eastAsia"/>
          <w:lang w:val="en-US" w:eastAsia="zh-CN"/>
        </w:rPr>
        <w:t>功能</w:t>
      </w:r>
      <w:r>
        <w:rPr>
          <w:rFonts w:hint="eastAsia" w:ascii="宋体" w:eastAsia="宋体"/>
          <w:lang w:val="en-US" w:eastAsia="zh-CN"/>
        </w:rPr>
        <w:t>具体内容见表</w:t>
      </w:r>
      <w:r>
        <w:rPr>
          <w:rFonts w:hint="eastAsia"/>
          <w:lang w:val="en-US" w:eastAsia="zh-CN"/>
        </w:rPr>
        <w:t>14</w:t>
      </w:r>
      <w:r>
        <w:rPr>
          <w:rFonts w:hint="eastAsia" w:ascii="宋体" w:eastAsia="宋体"/>
          <w:lang w:val="en-US" w:eastAsia="zh-CN"/>
        </w:rPr>
        <w:t>。</w:t>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表14  退货订单管理功能</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23"/>
        <w:gridCol w:w="66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23" w:type="dxa"/>
            <w:tcBorders>
              <w:bottom w:val="single" w:color="auto" w:sz="12" w:space="0"/>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功能名称</w:t>
            </w:r>
          </w:p>
        </w:tc>
        <w:tc>
          <w:tcPr>
            <w:tcW w:w="6698" w:type="dxa"/>
            <w:tcBorders>
              <w:bottom w:val="single" w:color="auto" w:sz="12" w:space="0"/>
            </w:tcBorders>
            <w:shd w:val="clear" w:color="auto" w:fill="auto"/>
            <w:noWrap w:val="0"/>
            <w:vAlign w:val="top"/>
          </w:tcPr>
          <w:p>
            <w:pPr>
              <w:jc w:val="center"/>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rPr>
              <w:t>退货订单管理</w:t>
            </w:r>
            <w:r>
              <w:rPr>
                <w:rFonts w:hint="eastAsia" w:cs="宋体"/>
                <w:b w:val="0"/>
                <w:bCs w:val="0"/>
                <w:sz w:val="18"/>
                <w:szCs w:val="18"/>
                <w:lang w:val="en-US" w:eastAsia="zh-CN"/>
              </w:rPr>
              <w:t>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23"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业务描述</w:t>
            </w:r>
          </w:p>
        </w:tc>
        <w:tc>
          <w:tcPr>
            <w:tcW w:w="6698" w:type="dxa"/>
            <w:tcBorders>
              <w:tl2br w:val="nil"/>
              <w:tr2bl w:val="nil"/>
            </w:tcBorders>
            <w:shd w:val="clear" w:color="auto" w:fill="auto"/>
            <w:noWrap w:val="0"/>
            <w:vAlign w:val="top"/>
          </w:tcPr>
          <w:p>
            <w:pPr>
              <w:rPr>
                <w:rFonts w:hint="eastAsia" w:ascii="宋体" w:hAnsi="宋体" w:eastAsia="宋体" w:cs="宋体"/>
                <w:b w:val="0"/>
                <w:bCs w:val="0"/>
                <w:sz w:val="18"/>
                <w:szCs w:val="18"/>
              </w:rPr>
            </w:pPr>
            <w:r>
              <w:rPr>
                <w:rFonts w:hint="eastAsia" w:ascii="宋体" w:hAnsi="宋体" w:eastAsia="宋体" w:cs="宋体"/>
                <w:b w:val="0"/>
                <w:bCs w:val="0"/>
                <w:sz w:val="18"/>
                <w:szCs w:val="18"/>
              </w:rPr>
              <w:t>提供给海关查询统计功能，更新人工处置订单功能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23"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使用对象</w:t>
            </w:r>
          </w:p>
        </w:tc>
        <w:tc>
          <w:tcPr>
            <w:tcW w:w="6698" w:type="dxa"/>
            <w:tcBorders>
              <w:tl2br w:val="nil"/>
              <w:tr2bl w:val="nil"/>
            </w:tcBorders>
            <w:shd w:val="clear" w:color="auto" w:fill="auto"/>
            <w:noWrap w:val="0"/>
            <w:vAlign w:val="top"/>
          </w:tcPr>
          <w:p>
            <w:pPr>
              <w:jc w:val="center"/>
              <w:rPr>
                <w:rFonts w:hint="eastAsia" w:ascii="宋体" w:hAnsi="宋体" w:eastAsia="宋体" w:cs="宋体"/>
                <w:b w:val="0"/>
                <w:bCs w:val="0"/>
                <w:sz w:val="18"/>
                <w:szCs w:val="18"/>
                <w:lang w:val="en-US" w:eastAsia="zh-CN"/>
              </w:rPr>
            </w:pPr>
            <w:r>
              <w:rPr>
                <w:rFonts w:hint="eastAsia" w:cs="宋体"/>
                <w:b w:val="0"/>
                <w:b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23"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使用条件</w:t>
            </w:r>
          </w:p>
        </w:tc>
        <w:tc>
          <w:tcPr>
            <w:tcW w:w="6698" w:type="dxa"/>
            <w:tcBorders>
              <w:tl2br w:val="nil"/>
              <w:tr2bl w:val="nil"/>
            </w:tcBorders>
            <w:shd w:val="clear" w:color="auto" w:fill="auto"/>
            <w:noWrap w:val="0"/>
            <w:vAlign w:val="top"/>
          </w:tcPr>
          <w:p>
            <w:pPr>
              <w:rPr>
                <w:rFonts w:hint="eastAsia" w:ascii="宋体" w:hAnsi="宋体" w:eastAsia="宋体" w:cs="宋体"/>
                <w:b w:val="0"/>
                <w:bCs w:val="0"/>
                <w:sz w:val="18"/>
                <w:szCs w:val="18"/>
              </w:rPr>
            </w:pPr>
            <w:r>
              <w:rPr>
                <w:rFonts w:hint="eastAsia" w:ascii="宋体" w:hAnsi="宋体" w:eastAsia="宋体" w:cs="宋体"/>
                <w:b w:val="0"/>
                <w:bCs w:val="0"/>
                <w:sz w:val="18"/>
                <w:szCs w:val="18"/>
              </w:rPr>
              <w:t>企业已将退货订单数据申报到该系统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23"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操作流程</w:t>
            </w:r>
          </w:p>
        </w:tc>
        <w:tc>
          <w:tcPr>
            <w:tcW w:w="6698" w:type="dxa"/>
            <w:tcBorders>
              <w:tl2br w:val="nil"/>
              <w:tr2bl w:val="nil"/>
            </w:tcBorders>
            <w:shd w:val="clear" w:color="auto" w:fill="auto"/>
            <w:noWrap w:val="0"/>
            <w:vAlign w:val="top"/>
          </w:tcPr>
          <w:p>
            <w:pPr>
              <w:rPr>
                <w:rFonts w:hint="eastAsia" w:ascii="宋体" w:hAnsi="宋体" w:eastAsia="宋体" w:cs="宋体"/>
                <w:b w:val="0"/>
                <w:bCs w:val="0"/>
                <w:sz w:val="18"/>
                <w:szCs w:val="18"/>
              </w:rPr>
            </w:pPr>
            <w:r>
              <w:rPr>
                <w:rFonts w:hint="eastAsia" w:ascii="宋体" w:hAnsi="宋体" w:eastAsia="宋体" w:cs="宋体"/>
                <w:b w:val="0"/>
                <w:bCs w:val="0"/>
                <w:sz w:val="18"/>
                <w:szCs w:val="18"/>
              </w:rPr>
              <w:t>海关人员可通过该页面功能查询企业申报订单数据，更新订单状态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23"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业务规则</w:t>
            </w:r>
          </w:p>
        </w:tc>
        <w:tc>
          <w:tcPr>
            <w:tcW w:w="6698" w:type="dxa"/>
            <w:tcBorders>
              <w:tl2br w:val="nil"/>
              <w:tr2bl w:val="nil"/>
            </w:tcBorders>
            <w:shd w:val="clear" w:color="auto" w:fill="auto"/>
            <w:noWrap w:val="0"/>
            <w:vAlign w:val="top"/>
          </w:tcPr>
          <w:p>
            <w:pPr>
              <w:rPr>
                <w:rFonts w:hint="eastAsia" w:ascii="宋体" w:hAnsi="宋体" w:eastAsia="宋体" w:cs="宋体"/>
                <w:b w:val="0"/>
                <w:bCs w:val="0"/>
                <w:sz w:val="18"/>
                <w:szCs w:val="18"/>
              </w:rPr>
            </w:pPr>
            <w:r>
              <w:rPr>
                <w:rFonts w:hint="eastAsia" w:ascii="宋体" w:hAnsi="宋体" w:eastAsia="宋体" w:cs="宋体"/>
                <w:b w:val="0"/>
                <w:bCs w:val="0"/>
                <w:sz w:val="18"/>
                <w:szCs w:val="18"/>
              </w:rPr>
              <w:t>查询功能：</w:t>
            </w:r>
          </w:p>
          <w:p>
            <w:pPr>
              <w:ind w:firstLine="360" w:firstLineChars="200"/>
              <w:rPr>
                <w:rFonts w:hint="eastAsia" w:ascii="宋体" w:hAnsi="宋体" w:eastAsia="宋体" w:cs="宋体"/>
                <w:b w:val="0"/>
                <w:bCs w:val="0"/>
                <w:sz w:val="18"/>
                <w:szCs w:val="18"/>
              </w:rPr>
            </w:pPr>
            <w:r>
              <w:rPr>
                <w:rFonts w:hint="eastAsia" w:ascii="宋体" w:hAnsi="宋体" w:eastAsia="宋体" w:cs="宋体"/>
                <w:b w:val="0"/>
                <w:bCs w:val="0"/>
                <w:sz w:val="18"/>
                <w:szCs w:val="18"/>
              </w:rPr>
              <w:t>查询条件：提单号（右模糊），运单号（右模糊），订单号、出口物流企业编号（右模糊），申报时间，放行时间，订单状态（下拉框，全部，待审核，审核通过，退单，放行，销毁、退运、待理货、人工审核、扣货），电商平台编号（右模糊）</w:t>
            </w:r>
          </w:p>
          <w:p>
            <w:pPr>
              <w:ind w:firstLine="360" w:firstLineChars="200"/>
              <w:rPr>
                <w:rFonts w:hint="eastAsia" w:ascii="宋体" w:hAnsi="宋体" w:eastAsia="宋体" w:cs="宋体"/>
                <w:b w:val="0"/>
                <w:bCs w:val="0"/>
                <w:sz w:val="18"/>
                <w:szCs w:val="18"/>
              </w:rPr>
            </w:pPr>
            <w:r>
              <w:rPr>
                <w:rFonts w:hint="eastAsia" w:ascii="宋体" w:hAnsi="宋体" w:eastAsia="宋体" w:cs="宋体"/>
                <w:b w:val="0"/>
                <w:bCs w:val="0"/>
                <w:sz w:val="18"/>
                <w:szCs w:val="18"/>
              </w:rPr>
              <w:t>查询列表展示列：</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sz w:val="18"/>
                <w:szCs w:val="18"/>
              </w:rPr>
              <w:t>复选</w:t>
            </w:r>
            <w:r>
              <w:rPr>
                <w:rFonts w:hint="eastAsia" w:ascii="宋体" w:hAnsi="宋体" w:eastAsia="宋体" w:cs="宋体"/>
                <w:b w:val="0"/>
                <w:bCs w:val="0"/>
                <w:color w:val="auto"/>
                <w:sz w:val="18"/>
                <w:szCs w:val="18"/>
              </w:rPr>
              <w:t>框，提单号、运单号、订单号、出口物流企业名称、电商平台名称，电商企业名称、订单状态，操作详情（该列默认统一显示“查看”“详情”）；默认按申报时间查询7天内数据。</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点击“详情”打开弹出详情页：</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详情页展示三个table页：订单页，展示退货订单表头，表体字段信息，默认展示该页，表头字段除企业申报字段外，还包含订单状态，申报时间，退单原因；物流信息页，点击进去后默认展现，展现内容字段为企业申报字段；理货明细页：按运单号为维度查询内容展现企业申报字段。</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下表下方放置按钮“退单”、“放行”、“销毁”、“删除”、“退运”、“扣货”“审核通过”，“批量处置”，“导出”。</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操作人员在未选中相应记录后点击按钮时，提示“请先选中要操作的数据”</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点击“退单”按钮，提示“确认对选中数据做退单吗？”选中确定后，提交请求，后台将选中记录的订单状态更新为退单，返回“操作成功”，若出现系统异常则提升“系统异常，联系系统运维人员”；已是退单状态的忽略，销毁状态的不能更新为退单，将运单号返回前端提示“运单号xxx，xxx已是销毁状态，不能进行退单操作，其他单证已更新成功”；</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点击“放行”按钮，提示“确认对选中数据做放行吗？”选中确定后，提交请求，后台将选中记录的订单状态更新为放行，返回“操作成功”，若出现系统异常则提升“系统异常，联系系统运维人员”；已是放行状态的忽略，销毁、待审核状态的不能更新为放行，将运单号返回前端提示“运单号xxx，xxx已是销毁状态，不能进行放行操作，其他单证已更新成功”；</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点击“销毁”按钮，提示“确认对选中数据做销毁吗？”选中确定后，提交请求，后台将选中记录的订单状态更新为销毁，返回“操作成功”，若出现系统异常则提升“系统异常，联系系统运维人员”；已是销毁状态的忽略，待审核、退单状态的不能更新为销毁，将运单号返回前端提示“运单号xxx，xxx不能进行销毁操作，其他单证已更新成功”；</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点击“退运”按钮，提示“确认对选中数据做退运吗？”选中确定后，提交请求，后台将选中记录的订单状态更新为退运，返回“操作成功”，若出现系统异常则提升“系统异常，联系系统运维人员”；已是退运状态的忽略，销毁状态的不能更新为退运，将运单号返回前端提示“运单号xxx，xxx已是销毁状态，不能进行退运操作，其他单证已更新成功”；</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点击“扣货”按钮，提示“确认对选中数据做扣货吗？”选中确定后，提交请求，后台将选中记录的订单状态更新为扣货，返回“操作成功”，若出现系统异常则提升“系统异常，联系系统运维人员”；已是“销毁”状态的忽略，销毁状态的不能更新为“扣货”，将运单号返回前端提示“运单号xxx，xxx已是销毁状态，不能进行扣货操作，其他单证已更新成功”；</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点击“删除”：提示“确认对选中数据做删除吗？”选中确定后，提交请求，后台将选中记录的订单删除，返回“操作成功”，若出现系统异常则提升“系统异常，联系系统运维人员”；只有退单的才能删除。逻辑删除，物理删除。</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点击“审核通过”按钮，提示“确认对选中数据做审核通过吗？”选中确定后，提交请求，后台将选中记录的订单状态更新为“审核通过”，返回“操作成功”，若出现系统异常则提升“系统异常，联系系统运维人员”；只有“退单”，“人工审核”状态的才能更新为“审核通过”，否则将运单号返回前端提示“运单号xxx，xxx不能进行审核通过操作，其他单证已更新成功”；</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点击“批量处置”进入excel导入页面，放置导入模板下载链接“模板下载”，模板包含三列，出口企业编号，出口运单号、处置状态(可以填写放行、退运、退单、销毁)。</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选“导入处置结果”，若excel格式不对则提示“模板错误，请检查”。</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若导入的处置状态不在这范围内，则提示“处置结果填写不正确”</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根据提单号，出口运单号，查询退货订单，若订单存在则根据状态填写列更新订单状态，若订单不存在则提示“第xx行订单不存在”。其中一行异常，则整个excel数据不做更新。</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点击“导出”，根据查询条件导出excel列表，excel列表字段参考查询列表字段。增加一列“序号”，去除“订单状态”，“操作”列。</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以上订单状态的编号，保留操作纪录，字段包括下数据单号、更新后的订单状态、操作人员id,更新时间，操作类型（人工处置，excel导入）。</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订单状态的变化需要发送回执给企业。</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在点击“退单”、“放行”、“销毁”、“删除”、“退运”、“扣货”“审核通过”，“批量处置”按钮后需要先弹出一个页面，页面提供两个字段“关员编号1”,“关员编号2”，为必填字段，关员编号1根据当前登录账号的用户名（开通账号的时候，用户名称设置为关员编号）获取，且不可修改，关员编号2字段，必填，待操作人员录入后才能提交按钮请求，记录该关员编号信息在，“查看”页展示</w:t>
            </w:r>
          </w:p>
          <w:p>
            <w:pPr>
              <w:ind w:firstLine="360" w:firstLineChars="200"/>
              <w:rPr>
                <w:rFonts w:hint="eastAsia" w:ascii="宋体" w:hAnsi="宋体" w:eastAsia="宋体" w:cs="宋体"/>
                <w:b w:val="0"/>
                <w:bCs w:val="0"/>
                <w:sz w:val="18"/>
                <w:szCs w:val="18"/>
              </w:rPr>
            </w:pPr>
            <w:r>
              <w:rPr>
                <w:rFonts w:hint="eastAsia" w:ascii="宋体" w:hAnsi="宋体" w:eastAsia="宋体" w:cs="宋体"/>
                <w:b w:val="0"/>
                <w:bCs w:val="0"/>
                <w:color w:val="auto"/>
                <w:sz w:val="18"/>
                <w:szCs w:val="18"/>
              </w:rPr>
              <w:t>点击“查看”，根据该条记录的系统主键获取后端海关人工处置、excel导入的操作记录，展现，操作人员id,操作人员名称、操作时间、订单状态、、操作类型、关员编号1、报关编号2字段。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23"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业务数据</w:t>
            </w:r>
          </w:p>
        </w:tc>
        <w:tc>
          <w:tcPr>
            <w:tcW w:w="6698" w:type="dxa"/>
            <w:tcBorders>
              <w:tl2br w:val="nil"/>
              <w:tr2bl w:val="nil"/>
            </w:tcBorders>
            <w:shd w:val="clear" w:color="auto" w:fill="auto"/>
            <w:noWrap w:val="0"/>
            <w:vAlign w:val="top"/>
          </w:tcPr>
          <w:p>
            <w:pPr>
              <w:jc w:val="center"/>
              <w:rPr>
                <w:rFonts w:hint="eastAsia" w:ascii="宋体" w:hAnsi="宋体" w:eastAsia="宋体" w:cs="宋体"/>
                <w:b w:val="0"/>
                <w:bCs w:val="0"/>
                <w:sz w:val="18"/>
                <w:szCs w:val="18"/>
                <w:lang w:val="en-US" w:eastAsia="zh-CN"/>
              </w:rPr>
            </w:pPr>
            <w:r>
              <w:rPr>
                <w:rFonts w:hint="eastAsia" w:cs="宋体"/>
                <w:b w:val="0"/>
                <w:b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23"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数据交换</w:t>
            </w:r>
          </w:p>
        </w:tc>
        <w:tc>
          <w:tcPr>
            <w:tcW w:w="6698" w:type="dxa"/>
            <w:tcBorders>
              <w:tl2br w:val="nil"/>
              <w:tr2bl w:val="nil"/>
            </w:tcBorders>
            <w:shd w:val="clear" w:color="auto" w:fill="auto"/>
            <w:noWrap w:val="0"/>
            <w:vAlign w:val="top"/>
          </w:tcPr>
          <w:p>
            <w:pPr>
              <w:rPr>
                <w:rFonts w:hint="eastAsia" w:ascii="宋体" w:hAnsi="宋体" w:eastAsia="宋体" w:cs="宋体"/>
                <w:b w:val="0"/>
                <w:bCs w:val="0"/>
                <w:sz w:val="18"/>
                <w:szCs w:val="18"/>
              </w:rPr>
            </w:pPr>
            <w:r>
              <w:rPr>
                <w:rFonts w:hint="eastAsia" w:ascii="宋体" w:hAnsi="宋体" w:eastAsia="宋体" w:cs="宋体"/>
                <w:b w:val="0"/>
                <w:b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23"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非功能需求与约束</w:t>
            </w:r>
          </w:p>
        </w:tc>
        <w:tc>
          <w:tcPr>
            <w:tcW w:w="6698" w:type="dxa"/>
            <w:tcBorders>
              <w:tl2br w:val="nil"/>
              <w:tr2bl w:val="nil"/>
            </w:tcBorders>
            <w:shd w:val="clear" w:color="auto" w:fill="auto"/>
            <w:noWrap w:val="0"/>
            <w:vAlign w:val="top"/>
          </w:tcPr>
          <w:p>
            <w:pPr>
              <w:rPr>
                <w:rFonts w:hint="eastAsia" w:ascii="宋体" w:hAnsi="宋体" w:eastAsia="宋体" w:cs="宋体"/>
                <w:b w:val="0"/>
                <w:bCs w:val="0"/>
                <w:sz w:val="18"/>
                <w:szCs w:val="18"/>
              </w:rPr>
            </w:pPr>
            <w:r>
              <w:rPr>
                <w:rFonts w:hint="eastAsia" w:ascii="宋体" w:hAnsi="宋体" w:eastAsia="宋体" w:cs="宋体"/>
                <w:b w:val="0"/>
                <w:b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23"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异常处理</w:t>
            </w:r>
          </w:p>
        </w:tc>
        <w:tc>
          <w:tcPr>
            <w:tcW w:w="6698" w:type="dxa"/>
            <w:tcBorders>
              <w:tl2br w:val="nil"/>
              <w:tr2bl w:val="nil"/>
            </w:tcBorders>
            <w:shd w:val="clear" w:color="auto" w:fill="auto"/>
            <w:noWrap w:val="0"/>
            <w:vAlign w:val="top"/>
          </w:tcPr>
          <w:p>
            <w:pPr>
              <w:jc w:val="center"/>
              <w:rPr>
                <w:rFonts w:hint="eastAsia" w:ascii="宋体" w:hAnsi="宋体" w:eastAsia="宋体" w:cs="宋体"/>
                <w:b w:val="0"/>
                <w:bCs w:val="0"/>
                <w:sz w:val="18"/>
                <w:szCs w:val="18"/>
                <w:lang w:val="en-US" w:eastAsia="zh-CN"/>
              </w:rPr>
            </w:pPr>
            <w:r>
              <w:rPr>
                <w:rFonts w:hint="eastAsia" w:cs="宋体"/>
                <w:b w:val="0"/>
                <w:bCs w:val="0"/>
                <w:sz w:val="18"/>
                <w:szCs w:val="18"/>
                <w:lang w:val="en-US" w:eastAsia="zh-CN"/>
              </w:rPr>
              <w:t>/</w:t>
            </w:r>
          </w:p>
        </w:tc>
      </w:tr>
    </w:tbl>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bookmarkStart w:id="79" w:name="_Toc32293"/>
      <w:bookmarkStart w:id="80" w:name="_Toc25370"/>
      <w:r>
        <w:rPr>
          <w:rFonts w:hint="eastAsia" w:cs="Times New Roman"/>
          <w:color w:val="000000"/>
          <w:highlight w:val="none"/>
          <w:lang w:val="en-US" w:eastAsia="zh-CN"/>
        </w:rPr>
        <w:t>风险参数管理</w:t>
      </w:r>
      <w:bookmarkEnd w:id="79"/>
      <w:bookmarkEnd w:id="80"/>
    </w:p>
    <w:p>
      <w:pPr>
        <w:bidi w:val="0"/>
        <w:ind w:firstLine="420" w:firstLineChars="200"/>
        <w:rPr>
          <w:rFonts w:hint="default"/>
          <w:lang w:val="en-US" w:eastAsia="zh-CN"/>
        </w:rPr>
      </w:pPr>
      <w:r>
        <w:rPr>
          <w:rFonts w:hint="eastAsia"/>
          <w:lang w:val="en-US" w:eastAsia="zh-CN"/>
        </w:rPr>
        <w:t>风险参数管理功能具体内容见表15。</w:t>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表15  风险参数管理功能</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43"/>
        <w:gridCol w:w="67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43" w:type="dxa"/>
            <w:tcBorders>
              <w:bottom w:val="single" w:color="auto" w:sz="12" w:space="0"/>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功能名称</w:t>
            </w:r>
          </w:p>
        </w:tc>
        <w:tc>
          <w:tcPr>
            <w:tcW w:w="6778" w:type="dxa"/>
            <w:tcBorders>
              <w:bottom w:val="single" w:color="auto" w:sz="12" w:space="0"/>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风险参数管理功能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43"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业务描述</w:t>
            </w:r>
          </w:p>
        </w:tc>
        <w:tc>
          <w:tcPr>
            <w:tcW w:w="6778"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提供给海关针对出口业务设置，企业申报的商品信息、国别地区、申报主体等风险参数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43"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使用对象</w:t>
            </w:r>
          </w:p>
        </w:tc>
        <w:tc>
          <w:tcPr>
            <w:tcW w:w="6778"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43"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使用条件</w:t>
            </w:r>
          </w:p>
        </w:tc>
        <w:tc>
          <w:tcPr>
            <w:tcW w:w="6778"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在企业申报环节，将企业数据该处设置的风险参数做比对，若命中，则退单。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43"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操作流程</w:t>
            </w:r>
          </w:p>
        </w:tc>
        <w:tc>
          <w:tcPr>
            <w:tcW w:w="6778"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海关人员可通过该页面功能设置、查询风险管控相关参数。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43"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业务规则</w:t>
            </w:r>
          </w:p>
        </w:tc>
        <w:tc>
          <w:tcPr>
            <w:tcW w:w="6778"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新增，修改功能：</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新增页面字段：参数值、参数类型（下拉框方式，下拉框值有：随机布控、 hs编码、商品名称、国别地区、电商企业名称、电商企业编号、电商平台名称、电商平台编号），命中百分比（只能填写0-100数字，包含0和100）、 是否启用（单选框方式，是，否，默认选是，表示启用）。当随机布控参数启用时，对所有审单单证按该参数设置的比百分比做命中处理。同个关区下，随机布控参数只能设置一个，选择该参数类型时，参数值填写框置灰不许用户填写，只需填写百分比。</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点击“保存”按钮，将参数内容保存至数据库，记录海关关员账号信息对应关区数据字段，提示“保存成功”，若系统异常提示“保存失败”。相同参数类型，相同值参数已存在的情况下提示“，保存失败，已存相同参数”</w:t>
            </w:r>
          </w:p>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查询页面功能：</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查询条件：参数值（模糊匹配），参数类型（下拉框）， 是否启用（下拉框，是，否），创建时间。</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查询列表展示列：</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复选框、参数类型、参数值、命中百分比、启用状态、创建人id、创建时间。</w:t>
            </w:r>
          </w:p>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下表下方放置按钮“修改”、“删除”</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操作人员在未选中相应记录后点击按钮时，提示“请先选中要操作的数据”</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点击“修改”时，若选择记录多余一条，则提示“只能选中一条数据修改”，进入新增修改页面。</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点击“删除”，提示“确认删除选中记录吗”，用户点击确认后，请教选中记录提交到后台删除，支持批量删除。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43"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业务数据</w:t>
            </w:r>
          </w:p>
        </w:tc>
        <w:tc>
          <w:tcPr>
            <w:tcW w:w="6778"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43"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数据交换</w:t>
            </w:r>
          </w:p>
        </w:tc>
        <w:tc>
          <w:tcPr>
            <w:tcW w:w="6778"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43"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非功能需求与约束</w:t>
            </w:r>
          </w:p>
        </w:tc>
        <w:tc>
          <w:tcPr>
            <w:tcW w:w="6778"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43"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异常处理</w:t>
            </w:r>
          </w:p>
        </w:tc>
        <w:tc>
          <w:tcPr>
            <w:tcW w:w="6778"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bl>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bookmarkStart w:id="81" w:name="_Toc32575"/>
      <w:bookmarkStart w:id="82" w:name="_Toc5159"/>
      <w:r>
        <w:rPr>
          <w:rFonts w:hint="eastAsia" w:cs="Times New Roman"/>
          <w:color w:val="000000"/>
          <w:highlight w:val="none"/>
          <w:lang w:val="en-US" w:eastAsia="zh-CN"/>
        </w:rPr>
        <w:t>退货物流单管理</w:t>
      </w:r>
      <w:bookmarkEnd w:id="81"/>
      <w:bookmarkEnd w:id="82"/>
    </w:p>
    <w:p>
      <w:pPr>
        <w:bidi w:val="0"/>
        <w:ind w:firstLine="420" w:firstLineChars="200"/>
        <w:rPr>
          <w:rFonts w:hint="default"/>
          <w:lang w:val="en-US" w:eastAsia="zh-CN"/>
        </w:rPr>
      </w:pPr>
      <w:r>
        <w:rPr>
          <w:rFonts w:hint="eastAsia" w:cs="Times New Roman"/>
          <w:color w:val="000000"/>
          <w:highlight w:val="none"/>
          <w:lang w:val="en-US" w:eastAsia="zh-CN"/>
        </w:rPr>
        <w:t>退货物流单管理</w:t>
      </w:r>
      <w:r>
        <w:rPr>
          <w:rFonts w:hint="eastAsia"/>
          <w:lang w:val="en-US" w:eastAsia="zh-CN"/>
        </w:rPr>
        <w:t>功能具体内容见表16。</w:t>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表16  退货物流单</w:t>
      </w:r>
      <w:r>
        <w:rPr>
          <w:rFonts w:hint="eastAsia" w:cs="Times New Roman"/>
          <w:color w:val="000000"/>
          <w:highlight w:val="none"/>
          <w:lang w:val="en-US" w:eastAsia="zh-CN"/>
        </w:rPr>
        <w:t>管理</w:t>
      </w:r>
      <w:r>
        <w:rPr>
          <w:rFonts w:hint="eastAsia"/>
          <w:lang w:val="en-US" w:eastAsia="zh-CN"/>
        </w:rPr>
        <w:t>功能</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27"/>
        <w:gridCol w:w="66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27" w:type="dxa"/>
            <w:tcBorders>
              <w:bottom w:val="single" w:color="auto" w:sz="12" w:space="0"/>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功能名称</w:t>
            </w:r>
          </w:p>
        </w:tc>
        <w:tc>
          <w:tcPr>
            <w:tcW w:w="6694" w:type="dxa"/>
            <w:tcBorders>
              <w:bottom w:val="single" w:color="auto" w:sz="12" w:space="0"/>
            </w:tcBorders>
            <w:shd w:val="clear" w:color="auto" w:fill="auto"/>
            <w:noWrap w:val="0"/>
            <w:vAlign w:val="top"/>
          </w:tcPr>
          <w:p>
            <w:pPr>
              <w:jc w:val="center"/>
              <w:rPr>
                <w:rFonts w:hint="eastAsia" w:ascii="宋体" w:hAnsi="宋体" w:eastAsia="宋体" w:cs="宋体"/>
                <w:b w:val="0"/>
                <w:bCs w:val="0"/>
                <w:i w:val="0"/>
                <w:iCs w:val="0"/>
                <w:sz w:val="18"/>
                <w:szCs w:val="18"/>
              </w:rPr>
            </w:pPr>
            <w:r>
              <w:rPr>
                <w:rFonts w:hint="eastAsia" w:cs="宋体"/>
                <w:b w:val="0"/>
                <w:bCs w:val="0"/>
                <w:i w:val="0"/>
                <w:iCs w:val="0"/>
                <w:sz w:val="18"/>
                <w:szCs w:val="18"/>
                <w:lang w:val="en-US" w:eastAsia="zh-CN"/>
              </w:rPr>
              <w:t>退货</w:t>
            </w:r>
            <w:r>
              <w:rPr>
                <w:rFonts w:hint="eastAsia" w:ascii="宋体" w:hAnsi="宋体" w:eastAsia="宋体" w:cs="宋体"/>
                <w:b w:val="0"/>
                <w:bCs w:val="0"/>
                <w:i w:val="0"/>
                <w:iCs w:val="0"/>
                <w:sz w:val="18"/>
                <w:szCs w:val="18"/>
              </w:rPr>
              <w:t>物流单管理功能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8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业务描述</w:t>
            </w:r>
          </w:p>
        </w:tc>
        <w:tc>
          <w:tcPr>
            <w:tcW w:w="6694"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提供给海关针对出口业务，要求企业申报的退货物流数据，在本页面做查询操作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8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使用对象</w:t>
            </w:r>
          </w:p>
        </w:tc>
        <w:tc>
          <w:tcPr>
            <w:tcW w:w="6694"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海关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使用条件</w:t>
            </w:r>
          </w:p>
        </w:tc>
        <w:tc>
          <w:tcPr>
            <w:tcW w:w="6694"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在企业申报环节，企业已经将退货物流数据申报到本系统。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操作流程</w:t>
            </w:r>
          </w:p>
        </w:tc>
        <w:tc>
          <w:tcPr>
            <w:tcW w:w="6694"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海关人员可通过该页面根据查询条件查看本关区下所有企业的物流数据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业务规则</w:t>
            </w:r>
          </w:p>
        </w:tc>
        <w:tc>
          <w:tcPr>
            <w:tcW w:w="6694"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查询页面功能：</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查询条件：出口运单号(右模糊)，退货运单号(右模糊)，提单号(右模糊)，出口物流企业名称(右模糊)、退货物流企业名称(右模糊)、申报时间。</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查询列表展示列：</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出口运单号、提单号、出口物流企业名称、退货物流企业名称、退货运单号、毛重、出口运抵国别、退货境外启运地、退货境外启运时间、入境时间、申报时间、详情（默认放看链接）。</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只能查询该关员对应关区下的数据。通过</w:t>
            </w:r>
            <w:r>
              <w:rPr>
                <w:rFonts w:hint="eastAsia" w:ascii="宋体" w:hAnsi="宋体" w:eastAsia="宋体" w:cs="宋体"/>
                <w:b w:val="0"/>
                <w:bCs w:val="0"/>
                <w:i w:val="0"/>
                <w:iCs w:val="0"/>
                <w:color w:val="000000"/>
                <w:kern w:val="0"/>
                <w:sz w:val="18"/>
                <w:szCs w:val="18"/>
              </w:rPr>
              <w:t>监管口岸代码关联。</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企业登录只能查询自己的单证，通过当前登录账号的海关十位数编码与退货物流企业编号关联</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账号中带有关区信息的则为海关账号。</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点击“查看“，弹出物流详情页展示物流信息，详情页展示字段内容参考退货订单管理详情页的物流单table页面。</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查询列表上方，增加“导出”按钮，点击“导出”，根据查询条件导出excel列表，excel列表字段参考查询列表字段。增加一列“序号”，去除“操作”列。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8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业务数据</w:t>
            </w:r>
          </w:p>
        </w:tc>
        <w:tc>
          <w:tcPr>
            <w:tcW w:w="6694"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8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数据交换</w:t>
            </w:r>
          </w:p>
        </w:tc>
        <w:tc>
          <w:tcPr>
            <w:tcW w:w="6694"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8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非功能需求与约束</w:t>
            </w:r>
          </w:p>
        </w:tc>
        <w:tc>
          <w:tcPr>
            <w:tcW w:w="6694"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8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异常处理</w:t>
            </w:r>
          </w:p>
        </w:tc>
        <w:tc>
          <w:tcPr>
            <w:tcW w:w="6694"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bl>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bookmarkStart w:id="83" w:name="_Toc964"/>
      <w:bookmarkStart w:id="84" w:name="_Toc26406"/>
      <w:r>
        <w:rPr>
          <w:rFonts w:hint="eastAsia" w:cs="Times New Roman"/>
          <w:color w:val="000000"/>
          <w:highlight w:val="none"/>
          <w:lang w:val="en-US" w:eastAsia="zh-CN"/>
        </w:rPr>
        <w:t>退货理货单管理</w:t>
      </w:r>
      <w:bookmarkEnd w:id="83"/>
      <w:bookmarkEnd w:id="84"/>
    </w:p>
    <w:p>
      <w:pPr>
        <w:bidi w:val="0"/>
        <w:ind w:firstLine="420" w:firstLineChars="200"/>
        <w:rPr>
          <w:rFonts w:hint="default"/>
          <w:lang w:val="en-US" w:eastAsia="zh-CN"/>
        </w:rPr>
      </w:pPr>
      <w:r>
        <w:rPr>
          <w:rFonts w:hint="eastAsia"/>
          <w:lang w:val="en-US" w:eastAsia="zh-CN"/>
        </w:rPr>
        <w:t>退货理货单管理功能具体内容见表17。</w:t>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表17  退货理货单</w:t>
      </w:r>
      <w:r>
        <w:rPr>
          <w:rFonts w:hint="eastAsia" w:cs="Times New Roman"/>
          <w:color w:val="000000"/>
          <w:highlight w:val="none"/>
          <w:lang w:val="en-US" w:eastAsia="zh-CN"/>
        </w:rPr>
        <w:t>管理</w:t>
      </w:r>
      <w:r>
        <w:rPr>
          <w:rFonts w:hint="eastAsia"/>
          <w:lang w:val="en-US" w:eastAsia="zh-CN"/>
        </w:rPr>
        <w:t>功能</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75"/>
        <w:gridCol w:w="67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1775" w:type="dxa"/>
            <w:tcBorders>
              <w:bottom w:val="single" w:color="auto" w:sz="12" w:space="0"/>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功能名称</w:t>
            </w:r>
          </w:p>
        </w:tc>
        <w:tc>
          <w:tcPr>
            <w:tcW w:w="6746" w:type="dxa"/>
            <w:tcBorders>
              <w:bottom w:val="single" w:color="auto" w:sz="12" w:space="0"/>
            </w:tcBorders>
            <w:shd w:val="clear" w:color="auto" w:fill="auto"/>
            <w:noWrap w:val="0"/>
            <w:vAlign w:val="top"/>
          </w:tcPr>
          <w:p>
            <w:pPr>
              <w:jc w:val="center"/>
              <w:rPr>
                <w:rFonts w:hint="eastAsia" w:ascii="宋体" w:hAnsi="宋体" w:eastAsia="宋体" w:cs="宋体"/>
                <w:b w:val="0"/>
                <w:bCs w:val="0"/>
                <w:i w:val="0"/>
                <w:iCs w:val="0"/>
                <w:sz w:val="18"/>
                <w:szCs w:val="18"/>
              </w:rPr>
            </w:pPr>
            <w:r>
              <w:rPr>
                <w:rFonts w:hint="eastAsia" w:cs="宋体"/>
                <w:b w:val="0"/>
                <w:bCs w:val="0"/>
                <w:i w:val="0"/>
                <w:iCs w:val="0"/>
                <w:sz w:val="18"/>
                <w:szCs w:val="18"/>
                <w:lang w:val="en-US" w:eastAsia="zh-CN"/>
              </w:rPr>
              <w:t>退货</w:t>
            </w:r>
            <w:r>
              <w:rPr>
                <w:rFonts w:hint="eastAsia" w:ascii="宋体" w:hAnsi="宋体" w:eastAsia="宋体" w:cs="宋体"/>
                <w:b w:val="0"/>
                <w:bCs w:val="0"/>
                <w:i w:val="0"/>
                <w:iCs w:val="0"/>
                <w:sz w:val="18"/>
                <w:szCs w:val="18"/>
              </w:rPr>
              <w:t>理货单管理功能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75"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业务描述</w:t>
            </w:r>
          </w:p>
        </w:tc>
        <w:tc>
          <w:tcPr>
            <w:tcW w:w="6746"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提供给海关针对出口业务，要求企业申报的退货理货数据，在本页面做查询操作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75"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使用对象</w:t>
            </w:r>
          </w:p>
        </w:tc>
        <w:tc>
          <w:tcPr>
            <w:tcW w:w="6746"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海关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75"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使用条件</w:t>
            </w:r>
          </w:p>
        </w:tc>
        <w:tc>
          <w:tcPr>
            <w:tcW w:w="6746"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在企业申报环节，企业已经将退货包裹的理货数据申报到本系统。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75"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操作流程</w:t>
            </w:r>
          </w:p>
        </w:tc>
        <w:tc>
          <w:tcPr>
            <w:tcW w:w="6746"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海关人员可通过该页面根据查询条件查看本关区下所有企业的理货数据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75"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业务规则</w:t>
            </w:r>
          </w:p>
        </w:tc>
        <w:tc>
          <w:tcPr>
            <w:tcW w:w="6746"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查询页面功能：</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查询条件：提运单号（右模糊），入场交通工具号码（右模糊），退货总包号（右模糊）、退货物流企业名称（右模糊）、退货运单号（右模糊），理货状态（下拉框，状态选项参考申报字段）、申报时间。</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查询列表展示列（按包裹维度展现）：</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提单号、退货总包号、退货物流企业名称、退货运单号、毛重、理货状态、理货异常原因、申报时间、详情（默认放看链接）。</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只能查询该关员对应关区下的数据。通过</w:t>
            </w:r>
            <w:r>
              <w:rPr>
                <w:rFonts w:hint="eastAsia" w:ascii="宋体" w:hAnsi="宋体" w:eastAsia="宋体" w:cs="宋体"/>
                <w:b w:val="0"/>
                <w:bCs w:val="0"/>
                <w:i w:val="0"/>
                <w:iCs w:val="0"/>
                <w:color w:val="000000"/>
                <w:kern w:val="0"/>
                <w:sz w:val="18"/>
                <w:szCs w:val="18"/>
              </w:rPr>
              <w:t>监管场所编码关联。</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点击“查看“，弹出理货详情页展示理货信息，详情页展示字段内容参考退货订单管理详情页的理货单table页面。</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查询列表上方，增加“导出”按钮，点击“导出”，根据查询条件导出excel列表，excel列表字段参考查询列表字段。增加一列“序号”，去除 “操作”列。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75"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变更记录</w:t>
            </w:r>
          </w:p>
        </w:tc>
        <w:tc>
          <w:tcPr>
            <w:tcW w:w="6746"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75"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业务数据</w:t>
            </w:r>
          </w:p>
        </w:tc>
        <w:tc>
          <w:tcPr>
            <w:tcW w:w="6746"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75"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数据交换</w:t>
            </w:r>
          </w:p>
        </w:tc>
        <w:tc>
          <w:tcPr>
            <w:tcW w:w="6746"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75"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非功能需求与约束</w:t>
            </w:r>
          </w:p>
        </w:tc>
        <w:tc>
          <w:tcPr>
            <w:tcW w:w="6746"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75"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异常处理</w:t>
            </w:r>
          </w:p>
        </w:tc>
        <w:tc>
          <w:tcPr>
            <w:tcW w:w="6746"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bl>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bookmarkStart w:id="85" w:name="_Toc25868"/>
      <w:bookmarkStart w:id="86" w:name="_Toc6152"/>
      <w:r>
        <w:rPr>
          <w:rFonts w:hint="eastAsia" w:cs="Times New Roman"/>
          <w:color w:val="000000"/>
          <w:highlight w:val="none"/>
          <w:lang w:val="en-US" w:eastAsia="zh-CN"/>
        </w:rPr>
        <w:t>订单查询管理</w:t>
      </w:r>
      <w:bookmarkEnd w:id="85"/>
      <w:bookmarkEnd w:id="86"/>
    </w:p>
    <w:p>
      <w:pPr>
        <w:bidi w:val="0"/>
        <w:ind w:firstLine="420" w:firstLineChars="200"/>
        <w:rPr>
          <w:rFonts w:hint="default"/>
          <w:lang w:val="en-US" w:eastAsia="zh-CN"/>
        </w:rPr>
      </w:pPr>
      <w:r>
        <w:rPr>
          <w:rFonts w:hint="eastAsia" w:cs="Times New Roman"/>
          <w:color w:val="000000"/>
          <w:highlight w:val="none"/>
          <w:lang w:val="en-US" w:eastAsia="zh-CN"/>
        </w:rPr>
        <w:t>订单查询管理</w:t>
      </w:r>
      <w:r>
        <w:rPr>
          <w:rFonts w:hint="eastAsia"/>
          <w:lang w:val="en-US" w:eastAsia="zh-CN"/>
        </w:rPr>
        <w:t>功能具体内容见表18。</w:t>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表18  订单查询管理</w:t>
      </w:r>
      <w:r>
        <w:rPr>
          <w:rFonts w:hint="eastAsia"/>
          <w:lang w:val="en-US" w:eastAsia="zh-CN"/>
        </w:rPr>
        <w:t>功能</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50"/>
        <w:gridCol w:w="69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550" w:type="dxa"/>
            <w:tcBorders>
              <w:bottom w:val="single" w:color="auto" w:sz="12" w:space="0"/>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功能名称</w:t>
            </w:r>
          </w:p>
        </w:tc>
        <w:tc>
          <w:tcPr>
            <w:tcW w:w="6971" w:type="dxa"/>
            <w:tcBorders>
              <w:bottom w:val="single" w:color="auto" w:sz="12" w:space="0"/>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订单查询管理功能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业务描述</w:t>
            </w:r>
          </w:p>
        </w:tc>
        <w:tc>
          <w:tcPr>
            <w:tcW w:w="6971"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提供给场站理货公司，在本页面做查询操作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使用对象</w:t>
            </w:r>
          </w:p>
        </w:tc>
        <w:tc>
          <w:tcPr>
            <w:tcW w:w="6971"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场站公司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使用条件</w:t>
            </w:r>
          </w:p>
        </w:tc>
        <w:tc>
          <w:tcPr>
            <w:tcW w:w="6971"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在企业申报环节，企业已经将订单数据申报到本系统。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操作流程</w:t>
            </w:r>
          </w:p>
        </w:tc>
        <w:tc>
          <w:tcPr>
            <w:tcW w:w="6971"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场站公司可通过该页面根据查询条件查看他的订单数据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业务规则</w:t>
            </w:r>
          </w:p>
        </w:tc>
        <w:tc>
          <w:tcPr>
            <w:tcW w:w="6971" w:type="dxa"/>
            <w:tcBorders>
              <w:tl2br w:val="nil"/>
              <w:tr2bl w:val="nil"/>
            </w:tcBorders>
            <w:shd w:val="clear" w:color="auto" w:fill="auto"/>
            <w:noWrap w:val="0"/>
            <w:vAlign w:val="center"/>
          </w:tcPr>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查询条件：参考退货订单管理页面，去除“放行时间“查询条件，订单状态默认为“待理货”</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查询列表展示列：</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与退货订单管理页面保持一致，去除复选框这列，操作详情列默认“详情”。</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点击“详情”打开弹出详情页，详情页与退货订单管理详情页的订单页保持一致。</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查询列表上方放置“导出”按钮，点击后，根据当前查询条件导出“提运单号、退货物流企业名称、退货物流企业编码、退货运单号、毛重、商品项号、商品名称、商品编码、规格型号、申报数量、申报计量单位字段。</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计量单位需转换成中文，一个订单多个表体时，提运单号、退货物流企业名称、退货物流企业编码、退货运单号、毛重表头字段内容多行重复，同一订单表体需在一起且按商品项号字段从小到大展现。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变更记录</w:t>
            </w:r>
          </w:p>
        </w:tc>
        <w:tc>
          <w:tcPr>
            <w:tcW w:w="6971"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业务数据</w:t>
            </w:r>
          </w:p>
        </w:tc>
        <w:tc>
          <w:tcPr>
            <w:tcW w:w="6971"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数据交换</w:t>
            </w:r>
          </w:p>
        </w:tc>
        <w:tc>
          <w:tcPr>
            <w:tcW w:w="6971"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非功能需求</w:t>
            </w:r>
          </w:p>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与约束</w:t>
            </w:r>
          </w:p>
        </w:tc>
        <w:tc>
          <w:tcPr>
            <w:tcW w:w="6971"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异常处理</w:t>
            </w:r>
          </w:p>
        </w:tc>
        <w:tc>
          <w:tcPr>
            <w:tcW w:w="6971"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bl>
    <w:p>
      <w:pPr>
        <w:pStyle w:val="26"/>
        <w:numPr>
          <w:ilvl w:val="1"/>
          <w:numId w:val="7"/>
        </w:numPr>
        <w:spacing w:before="156" w:after="156"/>
        <w:outlineLvl w:val="1"/>
        <w:rPr>
          <w:rFonts w:hint="eastAsia" w:hAnsi="Times New Roman" w:cs="Times New Roman"/>
          <w:color w:val="000000"/>
          <w:highlight w:val="none"/>
          <w:lang w:val="en-US" w:eastAsia="zh-CN"/>
        </w:rPr>
      </w:pPr>
      <w:bookmarkStart w:id="87" w:name="_Toc3314"/>
      <w:r>
        <w:rPr>
          <w:rFonts w:hint="eastAsia" w:hAnsi="Times New Roman" w:cs="Times New Roman"/>
          <w:color w:val="000000"/>
          <w:highlight w:val="none"/>
          <w:lang w:val="en-US" w:eastAsia="zh-CN"/>
        </w:rPr>
        <w:t>查询统计功能</w:t>
      </w:r>
      <w:bookmarkEnd w:id="87"/>
    </w:p>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bookmarkStart w:id="88" w:name="_Toc18417"/>
      <w:bookmarkStart w:id="89" w:name="_Toc21472"/>
      <w:r>
        <w:rPr>
          <w:rFonts w:hint="eastAsia" w:cs="Times New Roman"/>
          <w:color w:val="000000"/>
          <w:highlight w:val="none"/>
          <w:lang w:val="en-US" w:eastAsia="zh-CN"/>
        </w:rPr>
        <w:t>退货统计</w:t>
      </w:r>
      <w:bookmarkEnd w:id="88"/>
      <w:bookmarkEnd w:id="89"/>
    </w:p>
    <w:p>
      <w:pPr>
        <w:numPr>
          <w:ilvl w:val="0"/>
          <w:numId w:val="0"/>
        </w:numPr>
        <w:tabs>
          <w:tab w:val="left" w:pos="0"/>
        </w:tabs>
        <w:bidi w:val="0"/>
        <w:ind w:leftChars="0" w:firstLine="420" w:firstLineChars="200"/>
        <w:rPr>
          <w:rFonts w:hint="default"/>
          <w:lang w:val="en-US" w:eastAsia="zh-CN"/>
        </w:rPr>
      </w:pPr>
      <w:r>
        <w:rPr>
          <w:rFonts w:hint="eastAsia" w:ascii="宋体" w:eastAsia="宋体"/>
          <w:lang w:val="en-US" w:eastAsia="zh-CN"/>
        </w:rPr>
        <w:t>退货统计功能具体内容见表</w:t>
      </w:r>
      <w:r>
        <w:rPr>
          <w:rFonts w:hint="eastAsia"/>
          <w:lang w:val="en-US" w:eastAsia="zh-CN"/>
        </w:rPr>
        <w:t>19</w:t>
      </w:r>
      <w:r>
        <w:rPr>
          <w:rFonts w:hint="eastAsia" w:ascii="宋体" w:eastAsia="宋体"/>
          <w:lang w:val="en-US" w:eastAsia="zh-CN"/>
        </w:rPr>
        <w:t>。</w:t>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表19  退货统计功能</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71"/>
        <w:gridCol w:w="66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71" w:type="dxa"/>
            <w:tcBorders>
              <w:bottom w:val="single" w:color="auto" w:sz="12" w:space="0"/>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功能名称</w:t>
            </w:r>
          </w:p>
        </w:tc>
        <w:tc>
          <w:tcPr>
            <w:tcW w:w="6650" w:type="dxa"/>
            <w:tcBorders>
              <w:bottom w:val="single" w:color="auto" w:sz="12" w:space="0"/>
            </w:tcBorders>
            <w:shd w:val="clear" w:color="auto" w:fill="auto"/>
            <w:noWrap w:val="0"/>
            <w:vAlign w:val="top"/>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退货统计功能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业务描述</w:t>
            </w:r>
          </w:p>
        </w:tc>
        <w:tc>
          <w:tcPr>
            <w:tcW w:w="6650"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提供给海关针对出口退货数据做查询统计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使用对象</w:t>
            </w:r>
          </w:p>
        </w:tc>
        <w:tc>
          <w:tcPr>
            <w:tcW w:w="6650"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lang w:val="en-US" w:eastAsia="zh-CN"/>
              </w:rPr>
            </w:pPr>
            <w:r>
              <w:rPr>
                <w:rFonts w:hint="eastAsia" w:cs="宋体"/>
                <w:b w:val="0"/>
                <w:bCs w:val="0"/>
                <w:color w:val="auto"/>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使用条件</w:t>
            </w:r>
          </w:p>
        </w:tc>
        <w:tc>
          <w:tcPr>
            <w:tcW w:w="6650"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在企业已申报退货订单数据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操作流程</w:t>
            </w:r>
          </w:p>
        </w:tc>
        <w:tc>
          <w:tcPr>
            <w:tcW w:w="6650"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海关人员可通过该页面设置查询时间，状态、电商企业做查询统计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业务规则</w:t>
            </w:r>
          </w:p>
        </w:tc>
        <w:tc>
          <w:tcPr>
            <w:tcW w:w="6650"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查询页面功能：</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查询条件：申报时间，退货状态（与订单管理查询一致）、电商企业注册名称(后台维护电商企业名单，输入名称后自动匹配编号，通过编号查询)，默认不查询。点击查询后展示查询结果。</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查询列表结果展示：</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电商企业名称、总单量、总金额(人民币)、待审核、审核通过、放行、退单、退运、销毁、+扣货、其他。点击电商企业名称进入当个企业单量的统计页面。展示过去12个月统计表格以及折线图，饼图则根据查询列表页面传入的申报时间统计该电商企业下所有符合条件的订单。放行率=放行数/（放行+退运+销毁+扣货），异常率=退运+销毁+扣货/（放行+退运+销毁+扣货）</w:t>
            </w:r>
          </w:p>
          <w:p>
            <w:pPr>
              <w:ind w:firstLine="360" w:firstLineChars="200"/>
              <w:rPr>
                <w:rFonts w:hint="eastAsia" w:ascii="宋体" w:hAnsi="宋体" w:eastAsia="宋体" w:cs="宋体"/>
                <w:b w:val="0"/>
                <w:bCs w:val="0"/>
                <w:color w:val="auto"/>
                <w:sz w:val="18"/>
                <w:szCs w:val="18"/>
                <w:lang w:eastAsia="zh-CN"/>
              </w:rPr>
            </w:pPr>
            <w:r>
              <w:rPr>
                <w:rFonts w:hint="eastAsia" w:ascii="宋体" w:hAnsi="宋体" w:eastAsia="宋体" w:cs="宋体"/>
                <w:b w:val="0"/>
                <w:bCs w:val="0"/>
                <w:color w:val="auto"/>
                <w:sz w:val="18"/>
                <w:szCs w:val="18"/>
              </w:rPr>
              <w:t>妥投率=妥投数/放行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变更记录</w:t>
            </w:r>
          </w:p>
        </w:tc>
        <w:tc>
          <w:tcPr>
            <w:tcW w:w="6650"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lang w:val="en-US" w:eastAsia="zh-CN"/>
              </w:rPr>
            </w:pPr>
            <w:r>
              <w:rPr>
                <w:rFonts w:hint="eastAsia" w:cs="宋体"/>
                <w:b w:val="0"/>
                <w:bCs w:val="0"/>
                <w:i w:val="0"/>
                <w:iCs w:val="0"/>
                <w:color w:val="auto"/>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业务数据</w:t>
            </w:r>
          </w:p>
        </w:tc>
        <w:tc>
          <w:tcPr>
            <w:tcW w:w="6650"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lang w:val="en-US" w:eastAsia="zh-CN"/>
              </w:rPr>
            </w:pPr>
            <w:r>
              <w:rPr>
                <w:rFonts w:hint="eastAsia" w:cs="宋体"/>
                <w:b w:val="0"/>
                <w:bCs w:val="0"/>
                <w:color w:val="auto"/>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数据交换</w:t>
            </w:r>
          </w:p>
        </w:tc>
        <w:tc>
          <w:tcPr>
            <w:tcW w:w="6650"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非功能需求与约束</w:t>
            </w:r>
          </w:p>
        </w:tc>
        <w:tc>
          <w:tcPr>
            <w:tcW w:w="6650"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异常处理</w:t>
            </w:r>
          </w:p>
        </w:tc>
        <w:tc>
          <w:tcPr>
            <w:tcW w:w="6650"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lang w:val="en-US" w:eastAsia="zh-CN"/>
              </w:rPr>
            </w:pPr>
            <w:r>
              <w:rPr>
                <w:rFonts w:hint="eastAsia" w:cs="宋体"/>
                <w:b w:val="0"/>
                <w:bCs w:val="0"/>
                <w:color w:val="auto"/>
                <w:sz w:val="18"/>
                <w:szCs w:val="18"/>
                <w:lang w:val="en-US" w:eastAsia="zh-CN"/>
              </w:rPr>
              <w:t>/</w:t>
            </w:r>
          </w:p>
        </w:tc>
      </w:tr>
    </w:tbl>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bookmarkStart w:id="90" w:name="_Toc32159"/>
      <w:bookmarkStart w:id="91" w:name="_Toc30831"/>
      <w:r>
        <w:rPr>
          <w:rFonts w:hint="eastAsia" w:cs="Times New Roman"/>
          <w:color w:val="000000"/>
          <w:highlight w:val="none"/>
          <w:lang w:val="en-US" w:eastAsia="zh-CN"/>
        </w:rPr>
        <w:t>退货原因统计</w:t>
      </w:r>
      <w:bookmarkEnd w:id="90"/>
      <w:bookmarkEnd w:id="91"/>
    </w:p>
    <w:p>
      <w:pPr>
        <w:numPr>
          <w:ilvl w:val="0"/>
          <w:numId w:val="0"/>
        </w:numPr>
        <w:tabs>
          <w:tab w:val="left" w:pos="0"/>
        </w:tabs>
        <w:bidi w:val="0"/>
        <w:ind w:firstLine="420" w:firstLineChars="200"/>
        <w:rPr>
          <w:rFonts w:hint="default"/>
          <w:lang w:val="en-US" w:eastAsia="zh-CN"/>
        </w:rPr>
      </w:pPr>
      <w:r>
        <w:rPr>
          <w:rFonts w:hint="eastAsia" w:ascii="宋体" w:eastAsia="宋体"/>
          <w:lang w:val="en-US" w:eastAsia="zh-CN"/>
        </w:rPr>
        <w:t>退货原因统计功能具体内容见表</w:t>
      </w:r>
      <w:r>
        <w:rPr>
          <w:rFonts w:hint="eastAsia"/>
          <w:lang w:val="en-US" w:eastAsia="zh-CN"/>
        </w:rPr>
        <w:t>20</w:t>
      </w:r>
      <w:r>
        <w:rPr>
          <w:rFonts w:hint="eastAsia" w:ascii="宋体" w:eastAsia="宋体"/>
          <w:lang w:val="en-US" w:eastAsia="zh-CN"/>
        </w:rPr>
        <w:t>。</w:t>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表20  退货原因统计功能</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967"/>
        <w:gridCol w:w="65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967" w:type="dxa"/>
            <w:tcBorders>
              <w:bottom w:val="single" w:color="auto" w:sz="12" w:space="0"/>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功能名称</w:t>
            </w:r>
          </w:p>
        </w:tc>
        <w:tc>
          <w:tcPr>
            <w:tcW w:w="6554" w:type="dxa"/>
            <w:tcBorders>
              <w:bottom w:val="single" w:color="auto" w:sz="12" w:space="0"/>
            </w:tcBorders>
            <w:shd w:val="clear" w:color="auto" w:fill="auto"/>
            <w:noWrap w:val="0"/>
            <w:vAlign w:val="top"/>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退货原因统计功能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967"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业务描述</w:t>
            </w:r>
          </w:p>
        </w:tc>
        <w:tc>
          <w:tcPr>
            <w:tcW w:w="6554"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提供给海关针对出口退货数据做查询统计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967"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使用对象</w:t>
            </w:r>
          </w:p>
        </w:tc>
        <w:tc>
          <w:tcPr>
            <w:tcW w:w="6554"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lang w:val="en-US" w:eastAsia="zh-CN"/>
              </w:rPr>
            </w:pPr>
            <w:r>
              <w:rPr>
                <w:rFonts w:hint="eastAsia" w:cs="宋体"/>
                <w:b w:val="0"/>
                <w:bCs w:val="0"/>
                <w:color w:val="auto"/>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967"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使用条件</w:t>
            </w:r>
          </w:p>
        </w:tc>
        <w:tc>
          <w:tcPr>
            <w:tcW w:w="6554"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在企业已申报退货订单数据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967"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操作流程</w:t>
            </w:r>
          </w:p>
        </w:tc>
        <w:tc>
          <w:tcPr>
            <w:tcW w:w="6554"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海关人员可通过该页面设置查询时间，电商企业做查询统计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967"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业务规则</w:t>
            </w:r>
          </w:p>
        </w:tc>
        <w:tc>
          <w:tcPr>
            <w:tcW w:w="6554"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查询页面功能：</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查询条件：申报时间，电商企业注册名称(后台维护电商企业名单，输入名称后自动匹配编号，通过编号查询)，默认不查询。点击查询后展示查询结果。</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查询列表结果展示：</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电商企业名称、总单量、总金额(人民币)、保持与订单申报原因一致（派送失败，清关失败，消费者退货，其他）。点击电商企业名称进入当个企业单量的统计页面。根据不同退货原因占比数量展现饼图。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96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变更记录</w:t>
            </w:r>
          </w:p>
        </w:tc>
        <w:tc>
          <w:tcPr>
            <w:tcW w:w="6554"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lang w:val="en-US" w:eastAsia="zh-CN"/>
              </w:rPr>
            </w:pPr>
            <w:r>
              <w:rPr>
                <w:rFonts w:hint="eastAsia" w:cs="宋体"/>
                <w:b w:val="0"/>
                <w:bCs w:val="0"/>
                <w:i w:val="0"/>
                <w:iCs w:val="0"/>
                <w:color w:val="auto"/>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967"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业务数据</w:t>
            </w:r>
          </w:p>
        </w:tc>
        <w:tc>
          <w:tcPr>
            <w:tcW w:w="6554"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lang w:val="en-US" w:eastAsia="zh-CN"/>
              </w:rPr>
            </w:pPr>
            <w:r>
              <w:rPr>
                <w:rFonts w:hint="eastAsia" w:cs="宋体"/>
                <w:b w:val="0"/>
                <w:bCs w:val="0"/>
                <w:color w:val="auto"/>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967"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数据交换</w:t>
            </w:r>
          </w:p>
        </w:tc>
        <w:tc>
          <w:tcPr>
            <w:tcW w:w="6554"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967"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非功能需求与约束</w:t>
            </w:r>
          </w:p>
        </w:tc>
        <w:tc>
          <w:tcPr>
            <w:tcW w:w="6554"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967"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异常处理</w:t>
            </w:r>
          </w:p>
        </w:tc>
        <w:tc>
          <w:tcPr>
            <w:tcW w:w="6554"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lang w:val="en-US" w:eastAsia="zh-CN"/>
              </w:rPr>
            </w:pPr>
            <w:r>
              <w:rPr>
                <w:rFonts w:hint="eastAsia" w:cs="宋体"/>
                <w:b w:val="0"/>
                <w:bCs w:val="0"/>
                <w:color w:val="auto"/>
                <w:sz w:val="18"/>
                <w:szCs w:val="18"/>
                <w:lang w:val="en-US" w:eastAsia="zh-CN"/>
              </w:rPr>
              <w:t>/</w:t>
            </w:r>
          </w:p>
        </w:tc>
      </w:tr>
    </w:tbl>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bookmarkStart w:id="92" w:name="_Toc5498"/>
      <w:bookmarkStart w:id="93" w:name="_Toc30320"/>
      <w:r>
        <w:rPr>
          <w:rFonts w:hint="eastAsia" w:cs="Times New Roman"/>
          <w:color w:val="000000"/>
          <w:highlight w:val="none"/>
          <w:lang w:val="en-US" w:eastAsia="zh-CN"/>
        </w:rPr>
        <w:t>退货异常处置统计</w:t>
      </w:r>
      <w:bookmarkEnd w:id="92"/>
      <w:bookmarkEnd w:id="93"/>
    </w:p>
    <w:p>
      <w:pPr>
        <w:numPr>
          <w:ilvl w:val="0"/>
          <w:numId w:val="0"/>
        </w:numPr>
        <w:tabs>
          <w:tab w:val="left" w:pos="0"/>
        </w:tabs>
        <w:bidi w:val="0"/>
        <w:ind w:firstLine="420" w:firstLineChars="200"/>
        <w:rPr>
          <w:rFonts w:hint="default"/>
          <w:lang w:val="en-US" w:eastAsia="zh-CN"/>
        </w:rPr>
      </w:pPr>
      <w:r>
        <w:rPr>
          <w:rFonts w:hint="eastAsia"/>
          <w:lang w:val="en-US" w:eastAsia="zh-CN"/>
        </w:rPr>
        <w:t>退货</w:t>
      </w:r>
      <w:r>
        <w:rPr>
          <w:rFonts w:hint="eastAsia" w:ascii="宋体" w:eastAsia="宋体"/>
          <w:lang w:val="en-US" w:eastAsia="zh-CN"/>
        </w:rPr>
        <w:t>异常处置统计功能具体内容见表</w:t>
      </w:r>
      <w:r>
        <w:rPr>
          <w:rFonts w:hint="eastAsia"/>
          <w:lang w:val="en-US" w:eastAsia="zh-CN"/>
        </w:rPr>
        <w:t>21</w:t>
      </w:r>
      <w:r>
        <w:rPr>
          <w:rFonts w:hint="eastAsia" w:ascii="宋体" w:eastAsia="宋体"/>
          <w:lang w:val="en-US" w:eastAsia="zh-CN"/>
        </w:rPr>
        <w:t>。</w:t>
      </w:r>
    </w:p>
    <w:p>
      <w:pPr>
        <w:pStyle w:val="5"/>
        <w:numPr>
          <w:ilvl w:val="255"/>
          <w:numId w:val="0"/>
        </w:numPr>
        <w:tabs>
          <w:tab w:val="left" w:pos="0"/>
        </w:tabs>
        <w:spacing w:before="156" w:after="156"/>
        <w:rPr>
          <w:rFonts w:hint="default"/>
          <w:lang w:val="en-US" w:eastAsia="zh-CN"/>
        </w:rPr>
      </w:pPr>
      <w:r>
        <w:rPr>
          <w:rFonts w:hint="eastAsia" w:ascii="黑体" w:hAnsi="黑体" w:cs="黑体"/>
          <w:bCs w:val="0"/>
          <w:szCs w:val="21"/>
          <w:lang w:val="en-US" w:eastAsia="zh-CN"/>
        </w:rPr>
        <w:t>表21  退货异常处置统计功能</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86"/>
        <w:gridCol w:w="67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86" w:type="dxa"/>
            <w:tcBorders>
              <w:bottom w:val="single" w:color="auto" w:sz="12" w:space="0"/>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功能名称</w:t>
            </w:r>
          </w:p>
        </w:tc>
        <w:tc>
          <w:tcPr>
            <w:tcW w:w="6735" w:type="dxa"/>
            <w:tcBorders>
              <w:bottom w:val="single" w:color="auto" w:sz="12" w:space="0"/>
            </w:tcBorders>
            <w:shd w:val="clear" w:color="auto" w:fill="auto"/>
            <w:noWrap w:val="0"/>
            <w:vAlign w:val="top"/>
          </w:tcPr>
          <w:p>
            <w:pPr>
              <w:jc w:val="center"/>
              <w:rPr>
                <w:rFonts w:hint="eastAsia" w:ascii="宋体" w:hAnsi="宋体" w:eastAsia="宋体" w:cs="宋体"/>
                <w:b w:val="0"/>
                <w:bCs w:val="0"/>
                <w:i w:val="0"/>
                <w:iCs w:val="0"/>
                <w:color w:val="auto"/>
                <w:sz w:val="18"/>
                <w:szCs w:val="18"/>
              </w:rPr>
            </w:pPr>
            <w:r>
              <w:rPr>
                <w:rFonts w:hint="eastAsia" w:cs="宋体"/>
                <w:b w:val="0"/>
                <w:bCs w:val="0"/>
                <w:i w:val="0"/>
                <w:iCs w:val="0"/>
                <w:color w:val="auto"/>
                <w:sz w:val="18"/>
                <w:szCs w:val="18"/>
                <w:lang w:val="en-US" w:eastAsia="zh-CN"/>
              </w:rPr>
              <w:t>退货</w:t>
            </w:r>
            <w:r>
              <w:rPr>
                <w:rFonts w:hint="eastAsia" w:ascii="宋体" w:hAnsi="宋体" w:eastAsia="宋体" w:cs="宋体"/>
                <w:b w:val="0"/>
                <w:bCs w:val="0"/>
                <w:i w:val="0"/>
                <w:iCs w:val="0"/>
                <w:color w:val="auto"/>
                <w:sz w:val="18"/>
                <w:szCs w:val="18"/>
              </w:rPr>
              <w:t>异常处置统计功能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86"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业务描述</w:t>
            </w:r>
          </w:p>
        </w:tc>
        <w:tc>
          <w:tcPr>
            <w:tcW w:w="6735"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提供给海关针对出口退货异常处置数据做查询统计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86"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使用对象</w:t>
            </w:r>
          </w:p>
        </w:tc>
        <w:tc>
          <w:tcPr>
            <w:tcW w:w="6735"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lang w:val="en-US" w:eastAsia="zh-CN"/>
              </w:rPr>
            </w:pPr>
            <w:r>
              <w:rPr>
                <w:rFonts w:hint="eastAsia" w:cs="宋体"/>
                <w:b w:val="0"/>
                <w:bCs w:val="0"/>
                <w:i w:val="0"/>
                <w:iCs w:val="0"/>
                <w:color w:val="auto"/>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86"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使用条件</w:t>
            </w:r>
          </w:p>
        </w:tc>
        <w:tc>
          <w:tcPr>
            <w:tcW w:w="6735"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在企业已申报退货订单数据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86"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操作流程</w:t>
            </w:r>
          </w:p>
        </w:tc>
        <w:tc>
          <w:tcPr>
            <w:tcW w:w="6735"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海关人员可通过该页面设置查询时间，电商企业做查询统计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86"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业务规则</w:t>
            </w:r>
          </w:p>
        </w:tc>
        <w:tc>
          <w:tcPr>
            <w:tcW w:w="6735"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查询页面功能：</w:t>
            </w:r>
          </w:p>
          <w:p>
            <w:pPr>
              <w:ind w:firstLine="360" w:firstLineChars="20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查询条件：申报时间，电商企业注册名称(后台维护电商企业名单，输入名称后自动匹配编号，通过编号查询)，默认不查询。点击查询后展示查询结果。</w:t>
            </w:r>
          </w:p>
          <w:p>
            <w:pPr>
              <w:ind w:firstLine="360" w:firstLineChars="20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查询列表结果展示：</w:t>
            </w:r>
          </w:p>
          <w:p>
            <w:pPr>
              <w:ind w:firstLine="360" w:firstLineChars="20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电商企业名称、总单量（异常总单量）、总金额(人民币)、退单、退运、销毁。点击电商企业名称进入当个企业单量的统计页面。根据不同处置状态占比数量展现饼图。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86"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变更记录</w:t>
            </w:r>
          </w:p>
        </w:tc>
        <w:tc>
          <w:tcPr>
            <w:tcW w:w="6735"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lang w:val="en-US" w:eastAsia="zh-CN"/>
              </w:rPr>
            </w:pPr>
            <w:r>
              <w:rPr>
                <w:rFonts w:hint="eastAsia" w:cs="宋体"/>
                <w:b w:val="0"/>
                <w:bCs w:val="0"/>
                <w:i w:val="0"/>
                <w:iCs w:val="0"/>
                <w:color w:val="auto"/>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86"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业务数据</w:t>
            </w:r>
          </w:p>
        </w:tc>
        <w:tc>
          <w:tcPr>
            <w:tcW w:w="6735"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lang w:val="en-US" w:eastAsia="zh-CN"/>
              </w:rPr>
            </w:pPr>
            <w:r>
              <w:rPr>
                <w:rFonts w:hint="eastAsia" w:cs="宋体"/>
                <w:b w:val="0"/>
                <w:bCs w:val="0"/>
                <w:i w:val="0"/>
                <w:iCs w:val="0"/>
                <w:color w:val="auto"/>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86"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数据交换</w:t>
            </w:r>
          </w:p>
        </w:tc>
        <w:tc>
          <w:tcPr>
            <w:tcW w:w="6735"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86"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非功能需求与约束</w:t>
            </w:r>
          </w:p>
        </w:tc>
        <w:tc>
          <w:tcPr>
            <w:tcW w:w="6735"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86"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异常处理</w:t>
            </w:r>
          </w:p>
        </w:tc>
        <w:tc>
          <w:tcPr>
            <w:tcW w:w="6735"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lang w:val="en-US" w:eastAsia="zh-CN"/>
              </w:rPr>
            </w:pPr>
            <w:r>
              <w:rPr>
                <w:rFonts w:hint="eastAsia" w:cs="宋体"/>
                <w:b w:val="0"/>
                <w:bCs w:val="0"/>
                <w:i w:val="0"/>
                <w:iCs w:val="0"/>
                <w:color w:val="auto"/>
                <w:sz w:val="18"/>
                <w:szCs w:val="18"/>
                <w:lang w:val="en-US" w:eastAsia="zh-CN"/>
              </w:rPr>
              <w:t>/</w:t>
            </w:r>
          </w:p>
        </w:tc>
      </w:tr>
    </w:tbl>
    <w:p>
      <w:pPr>
        <w:pStyle w:val="24"/>
        <w:numPr>
          <w:ilvl w:val="0"/>
          <w:numId w:val="7"/>
        </w:numPr>
        <w:spacing w:before="312" w:after="312"/>
        <w:jc w:val="left"/>
        <w:outlineLvl w:val="0"/>
        <w:rPr>
          <w:highlight w:val="none"/>
        </w:rPr>
      </w:pPr>
      <w:bookmarkStart w:id="94" w:name="_Toc28974"/>
      <w:r>
        <w:rPr>
          <w:rFonts w:hint="eastAsia"/>
          <w:lang w:val="en-US" w:eastAsia="zh-CN"/>
        </w:rPr>
        <w:t>运维和安全保障</w:t>
      </w:r>
      <w:bookmarkEnd w:id="94"/>
    </w:p>
    <w:p>
      <w:pPr>
        <w:pStyle w:val="26"/>
        <w:numPr>
          <w:ilvl w:val="1"/>
          <w:numId w:val="7"/>
        </w:numPr>
        <w:spacing w:before="156" w:after="156"/>
        <w:ind w:left="0" w:leftChars="0" w:firstLine="0" w:firstLineChars="0"/>
        <w:outlineLvl w:val="1"/>
        <w:rPr>
          <w:rFonts w:hint="eastAsia"/>
          <w:lang w:val="en-US" w:eastAsia="zh-CN"/>
        </w:rPr>
      </w:pPr>
      <w:bookmarkStart w:id="95" w:name="_Toc25399"/>
      <w:r>
        <w:rPr>
          <w:rFonts w:hint="eastAsia"/>
          <w:lang w:val="en-US" w:eastAsia="zh-CN"/>
        </w:rPr>
        <w:t>运行环境</w:t>
      </w:r>
      <w:bookmarkEnd w:id="95"/>
    </w:p>
    <w:p>
      <w:pPr>
        <w:pStyle w:val="26"/>
        <w:numPr>
          <w:ilvl w:val="2"/>
          <w:numId w:val="7"/>
        </w:numPr>
        <w:spacing w:before="156" w:after="156"/>
        <w:ind w:left="0" w:leftChars="0" w:firstLine="0" w:firstLineChars="0"/>
        <w:outlineLvl w:val="1"/>
        <w:rPr>
          <w:rFonts w:hint="default"/>
          <w:lang w:val="en-US" w:eastAsia="zh-CN"/>
        </w:rPr>
      </w:pPr>
      <w:bookmarkStart w:id="96" w:name="_Toc31687"/>
      <w:bookmarkStart w:id="97" w:name="_Toc12000"/>
      <w:r>
        <w:rPr>
          <w:rFonts w:hint="eastAsia"/>
          <w:lang w:val="en-US" w:eastAsia="zh-CN"/>
        </w:rPr>
        <w:t>硬件环境</w:t>
      </w:r>
      <w:bookmarkEnd w:id="96"/>
      <w:bookmarkEnd w:id="97"/>
    </w:p>
    <w:p>
      <w:pPr>
        <w:numPr>
          <w:ilvl w:val="3"/>
          <w:numId w:val="7"/>
        </w:numPr>
        <w:bidi w:val="0"/>
        <w:rPr>
          <w:rFonts w:hint="default"/>
          <w:lang w:val="en-US" w:eastAsia="zh-CN"/>
        </w:rPr>
      </w:pPr>
      <w:r>
        <w:rPr>
          <w:rFonts w:hint="default"/>
          <w:lang w:val="en-US" w:eastAsia="zh-CN"/>
        </w:rPr>
        <w:t>服务器：CPU双核3.0G以上、内存4G以上、硬盘存储500G以上。</w:t>
      </w:r>
    </w:p>
    <w:p>
      <w:pPr>
        <w:numPr>
          <w:ilvl w:val="3"/>
          <w:numId w:val="7"/>
        </w:numPr>
        <w:bidi w:val="0"/>
        <w:rPr>
          <w:rFonts w:hint="default"/>
          <w:lang w:val="en-US" w:eastAsia="zh-CN"/>
        </w:rPr>
      </w:pPr>
      <w:r>
        <w:rPr>
          <w:rFonts w:hint="default"/>
          <w:lang w:val="en-US" w:eastAsia="zh-CN"/>
        </w:rPr>
        <w:t>客户端：</w:t>
      </w:r>
      <w:r>
        <w:rPr>
          <w:rFonts w:hint="eastAsia"/>
          <w:lang w:val="en-US" w:eastAsia="zh-CN"/>
        </w:rPr>
        <w:t>宜</w:t>
      </w:r>
      <w:r>
        <w:rPr>
          <w:rFonts w:hint="default"/>
          <w:lang w:val="en-US" w:eastAsia="zh-CN"/>
        </w:rPr>
        <w:t>CPU1.0G以上、128MB以上内存的pc机、1024*768显示器。</w:t>
      </w:r>
    </w:p>
    <w:p>
      <w:pPr>
        <w:pStyle w:val="26"/>
        <w:numPr>
          <w:ilvl w:val="2"/>
          <w:numId w:val="7"/>
        </w:numPr>
        <w:spacing w:before="156" w:after="156"/>
        <w:ind w:left="0" w:leftChars="0" w:firstLine="0" w:firstLineChars="0"/>
        <w:outlineLvl w:val="1"/>
        <w:rPr>
          <w:rFonts w:hint="default"/>
          <w:lang w:val="en-US" w:eastAsia="zh-CN"/>
        </w:rPr>
      </w:pPr>
      <w:bookmarkStart w:id="98" w:name="_Toc13778"/>
      <w:bookmarkStart w:id="99" w:name="_Toc22987"/>
      <w:r>
        <w:rPr>
          <w:rFonts w:hint="eastAsia"/>
          <w:lang w:val="en-US" w:eastAsia="zh-CN"/>
        </w:rPr>
        <w:t>软件环境</w:t>
      </w:r>
      <w:bookmarkEnd w:id="98"/>
      <w:bookmarkEnd w:id="99"/>
    </w:p>
    <w:p>
      <w:pPr>
        <w:numPr>
          <w:ilvl w:val="3"/>
          <w:numId w:val="7"/>
        </w:numPr>
        <w:bidi w:val="0"/>
        <w:rPr>
          <w:rFonts w:hint="default"/>
          <w:lang w:val="en-US" w:eastAsia="zh-CN"/>
        </w:rPr>
      </w:pPr>
      <w:r>
        <w:rPr>
          <w:rFonts w:hint="default"/>
          <w:lang w:val="en-US" w:eastAsia="zh-CN"/>
        </w:rPr>
        <w:t>服务器：Linux或者Windows server操作系统、JAVA运行环境、tomcat应用服务器</w:t>
      </w:r>
      <w:r>
        <w:rPr>
          <w:rFonts w:hint="eastAsia"/>
          <w:lang w:val="en-US" w:eastAsia="zh-CN"/>
        </w:rPr>
        <w:t>，</w:t>
      </w:r>
      <w:r>
        <w:rPr>
          <w:rFonts w:hint="default"/>
          <w:lang w:val="en-US" w:eastAsia="zh-CN"/>
        </w:rPr>
        <w:t>mysql数据库。</w:t>
      </w:r>
    </w:p>
    <w:p>
      <w:pPr>
        <w:numPr>
          <w:ilvl w:val="3"/>
          <w:numId w:val="7"/>
        </w:numPr>
        <w:bidi w:val="0"/>
        <w:rPr>
          <w:rFonts w:hint="default"/>
          <w:lang w:val="en-US" w:eastAsia="zh-CN"/>
        </w:rPr>
      </w:pPr>
      <w:r>
        <w:rPr>
          <w:rFonts w:hint="default"/>
          <w:lang w:val="en-US" w:eastAsia="zh-CN"/>
        </w:rPr>
        <w:t>客户端：IE6.0以上。</w:t>
      </w:r>
    </w:p>
    <w:p>
      <w:pPr>
        <w:pStyle w:val="26"/>
        <w:numPr>
          <w:ilvl w:val="2"/>
          <w:numId w:val="7"/>
        </w:numPr>
        <w:spacing w:before="156" w:after="156"/>
        <w:ind w:left="0" w:leftChars="0" w:firstLine="0" w:firstLineChars="0"/>
        <w:outlineLvl w:val="1"/>
        <w:rPr>
          <w:rFonts w:hint="eastAsia"/>
          <w:lang w:val="en-US" w:eastAsia="zh-CN"/>
        </w:rPr>
      </w:pPr>
      <w:bookmarkStart w:id="100" w:name="_Toc5573"/>
      <w:bookmarkStart w:id="101" w:name="_Toc5261"/>
      <w:r>
        <w:rPr>
          <w:rFonts w:hint="eastAsia"/>
          <w:lang w:val="en-US" w:eastAsia="zh-CN"/>
        </w:rPr>
        <w:t>网路环境</w:t>
      </w:r>
      <w:bookmarkEnd w:id="100"/>
      <w:bookmarkEnd w:id="101"/>
    </w:p>
    <w:p>
      <w:pPr>
        <w:bidi w:val="0"/>
        <w:ind w:firstLine="420" w:firstLineChars="200"/>
        <w:rPr>
          <w:rFonts w:hint="eastAsia"/>
          <w:lang w:val="en-US" w:eastAsia="zh-CN"/>
        </w:rPr>
      </w:pPr>
      <w:r>
        <w:rPr>
          <w:rFonts w:hint="eastAsia"/>
          <w:lang w:val="en-US" w:eastAsia="zh-CN"/>
        </w:rPr>
        <w:t>网络环境具体内容见图5。</w:t>
      </w:r>
    </w:p>
    <w:p>
      <w:pPr>
        <w:bidi w:val="0"/>
        <w:jc w:val="center"/>
      </w:pPr>
      <w:r>
        <w:object>
          <v:shape id="_x0000_i1028" o:spt="75" type="#_x0000_t75" style="height:263.85pt;width:380.2pt;" o:ole="t" filled="f" o:preferrelative="t" stroked="f" coordsize="21600,21600">
            <v:path/>
            <v:fill on="f" focussize="0,0"/>
            <v:stroke on="f"/>
            <v:imagedata r:id="rId21" o:title=""/>
            <o:lock v:ext="edit" aspectratio="t"/>
            <w10:wrap type="none"/>
            <w10:anchorlock/>
          </v:shape>
          <o:OLEObject Type="Embed" ProgID="Visio.Drawing.15" ShapeID="_x0000_i1028" DrawAspect="Content" ObjectID="_1468075728" r:id="rId20">
            <o:LockedField>false</o:LockedField>
          </o:OLEObject>
        </w:object>
      </w:r>
    </w:p>
    <w:p>
      <w:pPr>
        <w:numPr>
          <w:ilvl w:val="255"/>
          <w:numId w:val="0"/>
        </w:numPr>
        <w:tabs>
          <w:tab w:val="left" w:pos="0"/>
        </w:tabs>
        <w:spacing w:before="156" w:after="156"/>
        <w:jc w:val="center"/>
        <w:outlineLvl w:val="9"/>
        <w:rPr>
          <w:rFonts w:hint="eastAsia" w:ascii="黑体" w:hAnsi="黑体" w:cs="黑体"/>
          <w:bCs w:val="0"/>
          <w:szCs w:val="21"/>
          <w:lang w:val="en-US" w:eastAsia="zh-CN"/>
        </w:rPr>
      </w:pPr>
      <w:r>
        <w:rPr>
          <w:rFonts w:hint="eastAsia" w:ascii="黑体" w:hAnsi="黑体" w:cs="黑体"/>
          <w:bCs w:val="0"/>
          <w:szCs w:val="21"/>
          <w:lang w:val="en-US" w:eastAsia="zh-CN"/>
        </w:rPr>
        <w:t>图5  系统运行网路环境</w:t>
      </w:r>
    </w:p>
    <w:p>
      <w:pPr>
        <w:pStyle w:val="26"/>
        <w:numPr>
          <w:ilvl w:val="1"/>
          <w:numId w:val="7"/>
        </w:numPr>
        <w:spacing w:before="156" w:after="156"/>
        <w:ind w:left="0" w:leftChars="0" w:firstLine="0" w:firstLineChars="0"/>
        <w:outlineLvl w:val="1"/>
        <w:rPr>
          <w:rFonts w:hint="eastAsia"/>
          <w:lang w:val="en-US" w:eastAsia="zh-CN"/>
        </w:rPr>
      </w:pPr>
      <w:bookmarkStart w:id="102" w:name="_Toc14422"/>
      <w:r>
        <w:rPr>
          <w:rFonts w:hint="eastAsia"/>
          <w:lang w:val="en-US" w:eastAsia="zh-CN"/>
        </w:rPr>
        <w:t>运行与维护</w:t>
      </w:r>
      <w:bookmarkEnd w:id="102"/>
    </w:p>
    <w:p>
      <w:pPr>
        <w:numPr>
          <w:ilvl w:val="2"/>
          <w:numId w:val="7"/>
        </w:numPr>
        <w:bidi w:val="0"/>
        <w:ind w:left="0" w:leftChars="0" w:firstLine="0" w:firstLineChars="0"/>
        <w:rPr>
          <w:rFonts w:hint="eastAsia"/>
          <w:lang w:val="en-US" w:eastAsia="zh-CN"/>
        </w:rPr>
      </w:pPr>
      <w:r>
        <w:rPr>
          <w:rFonts w:hint="eastAsia"/>
          <w:lang w:val="en-US" w:eastAsia="zh-CN"/>
        </w:rPr>
        <w:t>应提供日常维护性服务，确保</w:t>
      </w:r>
      <w:r>
        <w:rPr>
          <w:rFonts w:hint="eastAsia" w:asciiTheme="minorEastAsia" w:hAnsiTheme="minorEastAsia" w:eastAsiaTheme="minorEastAsia" w:cstheme="minorEastAsia"/>
          <w:color w:val="auto"/>
          <w:highlight w:val="none"/>
          <w:lang w:val="en-US" w:eastAsia="zh-CN"/>
        </w:rPr>
        <w:t>监管服务平台</w:t>
      </w:r>
      <w:r>
        <w:rPr>
          <w:rFonts w:hint="eastAsia" w:ascii="宋体" w:hAnsi="宋体" w:eastAsia="宋体" w:cs="宋体"/>
          <w:lang w:val="en-US" w:eastAsia="zh-CN"/>
        </w:rPr>
        <w:t>7×24</w:t>
      </w:r>
      <w:r>
        <w:rPr>
          <w:rFonts w:hint="eastAsia"/>
          <w:lang w:val="en-US" w:eastAsia="zh-CN"/>
        </w:rPr>
        <w:t>小时正常运行。</w:t>
      </w:r>
    </w:p>
    <w:p>
      <w:pPr>
        <w:numPr>
          <w:ilvl w:val="2"/>
          <w:numId w:val="7"/>
        </w:numPr>
        <w:bidi w:val="0"/>
        <w:ind w:left="0" w:leftChars="0" w:firstLine="0" w:firstLineChars="0"/>
        <w:rPr>
          <w:rFonts w:hint="eastAsia"/>
          <w:lang w:val="en-US" w:eastAsia="zh-CN"/>
        </w:rPr>
      </w:pPr>
      <w:r>
        <w:rPr>
          <w:rFonts w:hint="eastAsia"/>
          <w:lang w:val="en-US" w:eastAsia="zh-CN"/>
        </w:rPr>
        <w:t>应明示服务流程，针对不同用户，应按有关管理规定设定相应使用权限。</w:t>
      </w:r>
    </w:p>
    <w:p>
      <w:pPr>
        <w:numPr>
          <w:ilvl w:val="2"/>
          <w:numId w:val="7"/>
        </w:numPr>
        <w:bidi w:val="0"/>
        <w:ind w:left="0" w:leftChars="0" w:firstLine="0" w:firstLineChars="0"/>
        <w:rPr>
          <w:rFonts w:hint="eastAsia"/>
          <w:lang w:val="en-US" w:eastAsia="zh-CN"/>
        </w:rPr>
      </w:pPr>
      <w:r>
        <w:rPr>
          <w:rFonts w:hint="eastAsia"/>
          <w:lang w:val="en-US" w:eastAsia="zh-CN"/>
        </w:rPr>
        <w:t>应提供面向新用户的接入指导，以及</w:t>
      </w:r>
      <w:r>
        <w:rPr>
          <w:rFonts w:hint="eastAsia" w:asciiTheme="minorEastAsia" w:hAnsiTheme="minorEastAsia" w:eastAsiaTheme="minorEastAsia" w:cstheme="minorEastAsia"/>
          <w:color w:val="auto"/>
          <w:highlight w:val="none"/>
          <w:lang w:val="en-US" w:eastAsia="zh-CN"/>
        </w:rPr>
        <w:t>监管服务平台</w:t>
      </w:r>
      <w:r>
        <w:rPr>
          <w:rFonts w:hint="eastAsia"/>
          <w:lang w:val="en-US" w:eastAsia="zh-CN"/>
        </w:rPr>
        <w:t>升级、改版后的培训指导。</w:t>
      </w:r>
    </w:p>
    <w:p>
      <w:pPr>
        <w:numPr>
          <w:ilvl w:val="2"/>
          <w:numId w:val="7"/>
        </w:numPr>
        <w:bidi w:val="0"/>
        <w:ind w:left="0" w:leftChars="0" w:firstLine="0" w:firstLineChars="0"/>
        <w:rPr>
          <w:rFonts w:hint="eastAsia"/>
          <w:lang w:val="en-US" w:eastAsia="zh-CN"/>
        </w:rPr>
      </w:pPr>
      <w:r>
        <w:rPr>
          <w:rFonts w:hint="eastAsia"/>
          <w:lang w:val="en-US" w:eastAsia="zh-CN"/>
        </w:rPr>
        <w:t>应提供全面完善的技术服务方式，包括电话、传真、电子邮件、在线、现场、用户会议、通知公告发布等，并在承诺时间内及时有效响应用户提出技术支持服务要求。</w:t>
      </w:r>
    </w:p>
    <w:p>
      <w:pPr>
        <w:numPr>
          <w:ilvl w:val="2"/>
          <w:numId w:val="7"/>
        </w:numPr>
        <w:bidi w:val="0"/>
        <w:ind w:left="0" w:leftChars="0" w:firstLine="0" w:firstLineChars="0"/>
        <w:rPr>
          <w:rFonts w:hint="eastAsia"/>
          <w:lang w:val="en-US" w:eastAsia="zh-CN"/>
        </w:rPr>
      </w:pPr>
      <w:r>
        <w:rPr>
          <w:rFonts w:hint="eastAsia"/>
          <w:lang w:val="en-US" w:eastAsia="zh-CN"/>
        </w:rPr>
        <w:t>应制定突发故障解决方案，提供7</w:t>
      </w:r>
      <w:r>
        <w:rPr>
          <w:rFonts w:hint="eastAsia" w:ascii="宋体" w:hAnsi="宋体" w:eastAsia="宋体" w:cs="宋体"/>
          <w:lang w:val="en-US" w:eastAsia="zh-CN"/>
        </w:rPr>
        <w:t>×</w:t>
      </w:r>
      <w:r>
        <w:rPr>
          <w:rFonts w:hint="eastAsia"/>
          <w:lang w:val="en-US" w:eastAsia="zh-CN"/>
        </w:rPr>
        <w:t>24小时故障服务热线，如需现场解决，应承诺在约定时间内赶到用户现场并提供处理方案。</w:t>
      </w:r>
    </w:p>
    <w:p>
      <w:pPr>
        <w:numPr>
          <w:ilvl w:val="2"/>
          <w:numId w:val="7"/>
        </w:numPr>
        <w:bidi w:val="0"/>
        <w:ind w:left="0" w:leftChars="0" w:firstLine="0" w:firstLineChars="0"/>
        <w:rPr>
          <w:rFonts w:hint="eastAsia"/>
          <w:lang w:val="en-US" w:eastAsia="zh-CN"/>
        </w:rPr>
      </w:pPr>
      <w:r>
        <w:rPr>
          <w:rFonts w:hint="eastAsia"/>
          <w:lang w:val="en-US" w:eastAsia="zh-CN"/>
        </w:rPr>
        <w:t>应确定上传到</w:t>
      </w:r>
      <w:r>
        <w:rPr>
          <w:rFonts w:hint="eastAsia" w:asciiTheme="minorEastAsia" w:hAnsiTheme="minorEastAsia" w:eastAsiaTheme="minorEastAsia" w:cstheme="minorEastAsia"/>
          <w:color w:val="auto"/>
          <w:highlight w:val="none"/>
          <w:lang w:val="en-US" w:eastAsia="zh-CN"/>
        </w:rPr>
        <w:t>监管服务平台</w:t>
      </w:r>
      <w:r>
        <w:rPr>
          <w:rFonts w:hint="eastAsia"/>
          <w:lang w:val="en-US" w:eastAsia="zh-CN"/>
        </w:rPr>
        <w:t>数据的准确性、安全性和完整性。</w:t>
      </w:r>
    </w:p>
    <w:p>
      <w:pPr>
        <w:numPr>
          <w:ilvl w:val="2"/>
          <w:numId w:val="7"/>
        </w:numPr>
        <w:bidi w:val="0"/>
        <w:ind w:left="0" w:leftChars="0" w:firstLine="0" w:firstLineChars="0"/>
        <w:rPr>
          <w:rFonts w:hint="eastAsia"/>
          <w:lang w:val="en-US" w:eastAsia="zh-CN"/>
        </w:rPr>
      </w:pPr>
      <w:r>
        <w:rPr>
          <w:rFonts w:hint="eastAsia"/>
          <w:lang w:val="en-US" w:eastAsia="zh-CN"/>
        </w:rPr>
        <w:t>应将传输、处理失败的报文重新进入业务处理流程。异常情况下出现业务中断时，应有相应的机制保证业务继续进行。</w:t>
      </w:r>
    </w:p>
    <w:p>
      <w:pPr>
        <w:numPr>
          <w:ilvl w:val="2"/>
          <w:numId w:val="7"/>
        </w:numPr>
        <w:bidi w:val="0"/>
        <w:ind w:left="0" w:leftChars="0" w:firstLine="0" w:firstLineChars="0"/>
        <w:rPr>
          <w:rFonts w:hint="eastAsia"/>
          <w:lang w:val="en-US" w:eastAsia="zh-CN"/>
        </w:rPr>
      </w:pPr>
      <w:r>
        <w:rPr>
          <w:rFonts w:hint="eastAsia"/>
          <w:lang w:val="en-US" w:eastAsia="zh-CN"/>
        </w:rPr>
        <w:t>在跨境电商举行重大促销时，应提供必要的技术支持和技术保障。</w:t>
      </w:r>
    </w:p>
    <w:p>
      <w:pPr>
        <w:pStyle w:val="26"/>
        <w:numPr>
          <w:ilvl w:val="1"/>
          <w:numId w:val="7"/>
        </w:numPr>
        <w:spacing w:before="156" w:after="156"/>
        <w:ind w:left="0" w:leftChars="0" w:firstLine="0" w:firstLineChars="0"/>
        <w:outlineLvl w:val="1"/>
        <w:rPr>
          <w:rFonts w:hint="eastAsia"/>
          <w:lang w:val="en-US" w:eastAsia="zh-CN"/>
        </w:rPr>
      </w:pPr>
      <w:bookmarkStart w:id="103" w:name="_Toc26394"/>
      <w:r>
        <w:rPr>
          <w:rFonts w:hint="eastAsia"/>
          <w:lang w:val="en-US" w:eastAsia="zh-CN"/>
        </w:rPr>
        <w:t>安全保障</w:t>
      </w:r>
      <w:bookmarkEnd w:id="103"/>
    </w:p>
    <w:p>
      <w:pPr>
        <w:pStyle w:val="26"/>
        <w:keepNext w:val="0"/>
        <w:keepLines w:val="0"/>
        <w:pageBreakBefore w:val="0"/>
        <w:widowControl/>
        <w:numPr>
          <w:ilvl w:val="2"/>
          <w:numId w:val="7"/>
        </w:numPr>
        <w:kinsoku/>
        <w:wordWrap/>
        <w:overflowPunct/>
        <w:topLinePunct w:val="0"/>
        <w:autoSpaceDE/>
        <w:autoSpaceDN/>
        <w:bidi w:val="0"/>
        <w:adjustRightInd/>
        <w:snapToGrid/>
        <w:spacing w:beforeLines="0" w:afterLines="0"/>
        <w:ind w:left="0" w:leftChars="0" w:firstLine="0" w:firstLineChars="0"/>
        <w:textAlignment w:val="auto"/>
        <w:outlineLvl w:val="1"/>
        <w:rPr>
          <w:rFonts w:hint="eastAsia" w:asciiTheme="minorEastAsia" w:hAnsiTheme="minorEastAsia" w:eastAsiaTheme="minorEastAsia" w:cstheme="minorEastAsia"/>
          <w:color w:val="auto"/>
          <w:highlight w:val="none"/>
          <w:lang w:val="en-US" w:eastAsia="zh-CN"/>
        </w:rPr>
      </w:pPr>
      <w:bookmarkStart w:id="104" w:name="_Toc2456"/>
      <w:bookmarkStart w:id="105" w:name="_Toc4679"/>
      <w:r>
        <w:rPr>
          <w:rFonts w:hint="eastAsia" w:asciiTheme="minorEastAsia" w:hAnsiTheme="minorEastAsia" w:eastAsiaTheme="minorEastAsia" w:cstheme="minorEastAsia"/>
          <w:color w:val="auto"/>
          <w:highlight w:val="none"/>
          <w:lang w:val="en-US" w:eastAsia="zh-CN"/>
        </w:rPr>
        <w:t>应符合国家网络信息安全保护相关规定。</w:t>
      </w:r>
      <w:bookmarkEnd w:id="104"/>
      <w:bookmarkEnd w:id="105"/>
    </w:p>
    <w:p>
      <w:pPr>
        <w:pStyle w:val="26"/>
        <w:keepNext w:val="0"/>
        <w:keepLines w:val="0"/>
        <w:pageBreakBefore w:val="0"/>
        <w:widowControl/>
        <w:numPr>
          <w:ilvl w:val="2"/>
          <w:numId w:val="7"/>
        </w:numPr>
        <w:kinsoku/>
        <w:wordWrap/>
        <w:overflowPunct/>
        <w:topLinePunct w:val="0"/>
        <w:autoSpaceDE/>
        <w:autoSpaceDN/>
        <w:bidi w:val="0"/>
        <w:adjustRightInd/>
        <w:snapToGrid/>
        <w:spacing w:beforeLines="0" w:afterLines="0"/>
        <w:ind w:left="0" w:leftChars="0" w:firstLine="0" w:firstLineChars="0"/>
        <w:textAlignment w:val="auto"/>
        <w:outlineLvl w:val="1"/>
        <w:rPr>
          <w:rFonts w:hint="eastAsia" w:asciiTheme="minorEastAsia" w:hAnsiTheme="minorEastAsia" w:eastAsiaTheme="minorEastAsia" w:cstheme="minorEastAsia"/>
          <w:color w:val="auto"/>
          <w:highlight w:val="none"/>
          <w:lang w:val="en-US" w:eastAsia="zh-CN"/>
        </w:rPr>
      </w:pPr>
      <w:bookmarkStart w:id="106" w:name="_Toc7536"/>
      <w:bookmarkStart w:id="107" w:name="_Toc32556"/>
      <w:r>
        <w:rPr>
          <w:rFonts w:hint="eastAsia" w:asciiTheme="minorEastAsia" w:hAnsiTheme="minorEastAsia" w:eastAsiaTheme="minorEastAsia" w:cstheme="minorEastAsia"/>
          <w:color w:val="auto"/>
          <w:highlight w:val="none"/>
          <w:lang w:val="en-US" w:eastAsia="zh-CN"/>
        </w:rPr>
        <w:t>应做好监管服务平台数据的采集、存储、备份、归档等工作。</w:t>
      </w:r>
      <w:bookmarkEnd w:id="106"/>
      <w:bookmarkEnd w:id="107"/>
    </w:p>
    <w:p>
      <w:pPr>
        <w:pStyle w:val="26"/>
        <w:keepNext w:val="0"/>
        <w:keepLines w:val="0"/>
        <w:pageBreakBefore w:val="0"/>
        <w:widowControl/>
        <w:numPr>
          <w:ilvl w:val="2"/>
          <w:numId w:val="7"/>
        </w:numPr>
        <w:kinsoku/>
        <w:wordWrap/>
        <w:overflowPunct/>
        <w:topLinePunct w:val="0"/>
        <w:autoSpaceDE/>
        <w:autoSpaceDN/>
        <w:bidi w:val="0"/>
        <w:adjustRightInd/>
        <w:snapToGrid/>
        <w:spacing w:beforeLines="0" w:afterLines="0"/>
        <w:ind w:left="0" w:leftChars="0" w:firstLine="0" w:firstLineChars="0"/>
        <w:textAlignment w:val="auto"/>
        <w:outlineLvl w:val="1"/>
        <w:rPr>
          <w:rFonts w:hint="eastAsia"/>
          <w:lang w:val="en-US" w:eastAsia="zh-CN"/>
        </w:rPr>
      </w:pPr>
      <w:bookmarkStart w:id="108" w:name="_Toc22280"/>
      <w:bookmarkStart w:id="109" w:name="_Toc2808"/>
      <w:r>
        <w:rPr>
          <w:rFonts w:hint="eastAsia" w:asciiTheme="minorEastAsia" w:hAnsiTheme="minorEastAsia" w:eastAsiaTheme="minorEastAsia" w:cstheme="minorEastAsia"/>
          <w:color w:val="auto"/>
          <w:highlight w:val="none"/>
          <w:lang w:val="en-US" w:eastAsia="zh-CN"/>
        </w:rPr>
        <w:t>应制定相应的安全措施和保密机制，保障用户注册信息以及通过监管服务平台交换数据的安全。</w:t>
      </w:r>
      <w:bookmarkEnd w:id="108"/>
      <w:bookmarkEnd w:id="109"/>
    </w:p>
    <w:p>
      <w:pPr>
        <w:pStyle w:val="26"/>
        <w:keepNext w:val="0"/>
        <w:keepLines w:val="0"/>
        <w:pageBreakBefore w:val="0"/>
        <w:widowControl/>
        <w:numPr>
          <w:ilvl w:val="2"/>
          <w:numId w:val="7"/>
        </w:numPr>
        <w:kinsoku/>
        <w:wordWrap/>
        <w:overflowPunct/>
        <w:topLinePunct w:val="0"/>
        <w:autoSpaceDE/>
        <w:autoSpaceDN/>
        <w:bidi w:val="0"/>
        <w:adjustRightInd/>
        <w:snapToGrid/>
        <w:spacing w:beforeLines="0" w:afterLines="0"/>
        <w:ind w:left="0" w:leftChars="0" w:firstLine="0" w:firstLineChars="0"/>
        <w:textAlignment w:val="auto"/>
        <w:outlineLvl w:val="1"/>
        <w:rPr>
          <w:rFonts w:hint="eastAsia" w:asciiTheme="minorEastAsia" w:hAnsiTheme="minorEastAsia" w:eastAsiaTheme="minorEastAsia" w:cstheme="minorEastAsia"/>
          <w:color w:val="auto"/>
          <w:highlight w:val="none"/>
          <w:lang w:val="en-US" w:eastAsia="zh-CN"/>
        </w:rPr>
      </w:pPr>
      <w:bookmarkStart w:id="110" w:name="_Toc22251"/>
      <w:bookmarkStart w:id="111" w:name="_Toc20154"/>
      <w:r>
        <w:rPr>
          <w:rFonts w:hint="eastAsia" w:asciiTheme="minorEastAsia" w:hAnsiTheme="minorEastAsia" w:eastAsiaTheme="minorEastAsia" w:cstheme="minorEastAsia"/>
          <w:color w:val="auto"/>
          <w:highlight w:val="none"/>
          <w:lang w:val="en-US" w:eastAsia="zh-CN"/>
        </w:rPr>
        <w:t>应通过身份鉴别、访问授权、防火墙、网络行为审计、入侵防御、漏洞扫描、计算机病毒防治、安全管理等方式，对用户行为和数据接口进行监测，并对异常数据、违规操作、越权访问等进行追踪溯源。</w:t>
      </w:r>
      <w:bookmarkEnd w:id="110"/>
      <w:bookmarkEnd w:id="111"/>
    </w:p>
    <w:p>
      <w:pPr>
        <w:pStyle w:val="24"/>
        <w:numPr>
          <w:ilvl w:val="0"/>
          <w:numId w:val="7"/>
        </w:numPr>
        <w:spacing w:before="312" w:after="312"/>
        <w:jc w:val="left"/>
        <w:outlineLvl w:val="0"/>
        <w:rPr>
          <w:rFonts w:hint="eastAsia"/>
          <w:color w:val="000000"/>
          <w:sz w:val="30"/>
          <w:szCs w:val="30"/>
          <w:highlight w:val="none"/>
          <w:lang w:val="en-US" w:eastAsia="zh-CN"/>
        </w:rPr>
      </w:pPr>
      <w:bookmarkStart w:id="112" w:name="_Toc17983"/>
      <w:r>
        <w:rPr>
          <w:rFonts w:hint="eastAsia"/>
          <w:lang w:val="en-US" w:eastAsia="zh-CN"/>
        </w:rPr>
        <w:t>投诉处理与改进</w:t>
      </w:r>
      <w:bookmarkEnd w:id="112"/>
    </w:p>
    <w:p>
      <w:pPr>
        <w:pStyle w:val="26"/>
        <w:numPr>
          <w:ilvl w:val="1"/>
          <w:numId w:val="7"/>
        </w:numPr>
        <w:spacing w:before="156" w:after="156"/>
        <w:ind w:left="0" w:leftChars="0" w:firstLine="0" w:firstLineChars="0"/>
        <w:outlineLvl w:val="1"/>
        <w:rPr>
          <w:rFonts w:hint="eastAsia"/>
          <w:lang w:val="en-US" w:eastAsia="zh-CN"/>
        </w:rPr>
      </w:pPr>
      <w:bookmarkStart w:id="113" w:name="_Toc23342"/>
      <w:r>
        <w:rPr>
          <w:rFonts w:hint="eastAsia"/>
          <w:lang w:val="en-US" w:eastAsia="zh-CN"/>
        </w:rPr>
        <w:t>投诉处理</w:t>
      </w:r>
      <w:bookmarkEnd w:id="113"/>
    </w:p>
    <w:p>
      <w:pPr>
        <w:pStyle w:val="25"/>
        <w:numPr>
          <w:ilvl w:val="2"/>
          <w:numId w:val="7"/>
        </w:numPr>
        <w:ind w:left="0" w:leftChars="0" w:firstLine="0" w:firstLineChars="0"/>
        <w:rPr>
          <w:rFonts w:hint="eastAsia" w:asciiTheme="minorEastAsia" w:hAnsiTheme="minorEastAsia" w:eastAsiaTheme="minorEastAsia" w:cstheme="minorEastAsia"/>
          <w:b w:val="0"/>
          <w:bCs/>
          <w:sz w:val="21"/>
          <w:szCs w:val="21"/>
          <w:highlight w:val="none"/>
          <w:lang w:val="en-US" w:eastAsia="zh-CN"/>
        </w:rPr>
      </w:pPr>
      <w:r>
        <w:rPr>
          <w:rFonts w:hint="eastAsia" w:asciiTheme="minorEastAsia" w:hAnsiTheme="minorEastAsia" w:eastAsiaTheme="minorEastAsia" w:cstheme="minorEastAsia"/>
          <w:b w:val="0"/>
          <w:bCs/>
          <w:sz w:val="21"/>
          <w:szCs w:val="21"/>
          <w:highlight w:val="none"/>
          <w:lang w:val="en-US" w:eastAsia="zh-CN"/>
        </w:rPr>
        <w:t>应在网站显著位置公布投诉电话，接受用户监督。</w:t>
      </w:r>
    </w:p>
    <w:p>
      <w:pPr>
        <w:pStyle w:val="25"/>
        <w:numPr>
          <w:ilvl w:val="2"/>
          <w:numId w:val="7"/>
        </w:numPr>
        <w:ind w:left="0" w:leftChars="0" w:firstLine="0" w:firstLineChars="0"/>
        <w:rPr>
          <w:rFonts w:hint="eastAsia" w:asciiTheme="minorEastAsia" w:hAnsiTheme="minorEastAsia" w:eastAsiaTheme="minorEastAsia" w:cstheme="minorEastAsia"/>
          <w:b w:val="0"/>
          <w:bCs/>
          <w:sz w:val="21"/>
          <w:szCs w:val="21"/>
          <w:highlight w:val="none"/>
          <w:lang w:val="en-US" w:eastAsia="zh-CN"/>
        </w:rPr>
      </w:pPr>
      <w:r>
        <w:rPr>
          <w:rFonts w:hint="eastAsia" w:asciiTheme="minorEastAsia" w:hAnsiTheme="minorEastAsia" w:eastAsiaTheme="minorEastAsia" w:cstheme="minorEastAsia"/>
          <w:b w:val="0"/>
          <w:bCs/>
          <w:sz w:val="21"/>
          <w:szCs w:val="21"/>
          <w:highlight w:val="none"/>
          <w:lang w:val="en-US" w:eastAsia="zh-CN"/>
        </w:rPr>
        <w:t>应建立用户的投诉和处理记录，并及时处理和回复。</w:t>
      </w:r>
    </w:p>
    <w:p>
      <w:pPr>
        <w:pStyle w:val="25"/>
        <w:numPr>
          <w:ilvl w:val="2"/>
          <w:numId w:val="7"/>
        </w:numPr>
        <w:ind w:left="0" w:leftChars="0" w:firstLine="0" w:firstLineChars="0"/>
        <w:rPr>
          <w:rFonts w:hint="eastAsia" w:asciiTheme="minorEastAsia" w:hAnsiTheme="minorEastAsia" w:eastAsiaTheme="minorEastAsia" w:cstheme="minorEastAsia"/>
          <w:b w:val="0"/>
          <w:bCs/>
          <w:sz w:val="21"/>
          <w:szCs w:val="21"/>
          <w:highlight w:val="none"/>
          <w:lang w:val="en-US" w:eastAsia="zh-CN"/>
        </w:rPr>
      </w:pPr>
      <w:r>
        <w:rPr>
          <w:rFonts w:hint="eastAsia" w:asciiTheme="minorEastAsia" w:hAnsiTheme="minorEastAsia" w:eastAsiaTheme="minorEastAsia" w:cstheme="minorEastAsia"/>
          <w:b w:val="0"/>
          <w:bCs/>
          <w:sz w:val="21"/>
          <w:szCs w:val="21"/>
          <w:highlight w:val="none"/>
          <w:lang w:val="en-US" w:eastAsia="zh-CN"/>
        </w:rPr>
        <w:t>投诉处理完毕，应进一步听取用户对处理结果或后续工作意见或建议。</w:t>
      </w:r>
    </w:p>
    <w:p>
      <w:pPr>
        <w:pStyle w:val="26"/>
        <w:numPr>
          <w:ilvl w:val="1"/>
          <w:numId w:val="7"/>
        </w:numPr>
        <w:spacing w:before="156" w:after="156"/>
        <w:ind w:left="0" w:leftChars="0" w:firstLine="0" w:firstLineChars="0"/>
        <w:outlineLvl w:val="1"/>
        <w:rPr>
          <w:rFonts w:hint="eastAsia"/>
          <w:lang w:val="en-US" w:eastAsia="zh-CN"/>
        </w:rPr>
      </w:pPr>
      <w:bookmarkStart w:id="114" w:name="_Toc7760"/>
      <w:r>
        <w:rPr>
          <w:rFonts w:hint="eastAsia"/>
          <w:lang w:val="en-US" w:eastAsia="zh-CN"/>
        </w:rPr>
        <w:t>改进</w:t>
      </w:r>
      <w:bookmarkEnd w:id="114"/>
    </w:p>
    <w:p>
      <w:pPr>
        <w:pStyle w:val="25"/>
        <w:numPr>
          <w:ilvl w:val="0"/>
          <w:numId w:val="0"/>
        </w:numPr>
        <w:tabs>
          <w:tab w:val="left" w:pos="0"/>
        </w:tabs>
        <w:ind w:leftChars="0" w:firstLine="420" w:firstLineChars="200"/>
      </w:pPr>
      <w:r>
        <w:rPr>
          <w:rFonts w:hint="default" w:asciiTheme="minorEastAsia" w:hAnsiTheme="minorEastAsia" w:eastAsiaTheme="minorEastAsia" w:cstheme="minorEastAsia"/>
          <w:b w:val="0"/>
          <w:bCs/>
          <w:sz w:val="21"/>
          <w:szCs w:val="21"/>
          <w:highlight w:val="none"/>
          <w:lang w:val="en-US" w:eastAsia="zh-CN"/>
        </w:rPr>
        <w:t>应针对平台用户投诉，分析问题存在的根本原因，并采取纠正与预防措施消除该根本原因，持续改进平台。</w:t>
      </w:r>
      <w:bookmarkEnd w:id="50"/>
      <w:bookmarkEnd w:id="51"/>
      <w:bookmarkEnd w:id="52"/>
    </w:p>
    <w:p>
      <w:pPr>
        <w:pStyle w:val="25"/>
        <w:numPr>
          <w:ilvl w:val="-1"/>
          <w:numId w:val="0"/>
        </w:numPr>
        <w:tabs>
          <w:tab w:val="left" w:pos="0"/>
        </w:tabs>
        <w:ind w:left="0" w:leftChars="0" w:firstLine="0" w:firstLineChars="0"/>
        <w:jc w:val="both"/>
      </w:pPr>
    </w:p>
    <w:p>
      <w:pPr>
        <w:pStyle w:val="25"/>
        <w:numPr>
          <w:ilvl w:val="-1"/>
          <w:numId w:val="0"/>
        </w:numPr>
        <w:tabs>
          <w:tab w:val="left" w:pos="0"/>
        </w:tabs>
        <w:ind w:left="0" w:leftChars="0" w:firstLine="0" w:firstLineChars="0"/>
        <w:jc w:val="both"/>
        <w:sectPr>
          <w:headerReference r:id="rId9" w:type="default"/>
          <w:footerReference r:id="rId11" w:type="default"/>
          <w:headerReference r:id="rId10" w:type="even"/>
          <w:footerReference r:id="rId12" w:type="even"/>
          <w:pgSz w:w="11906" w:h="16838"/>
          <w:pgMar w:top="1440" w:right="1800" w:bottom="1440" w:left="1800" w:header="1417" w:footer="1134" w:gutter="0"/>
          <w:pgBorders>
            <w:top w:val="none" w:sz="0" w:space="0"/>
            <w:left w:val="none" w:sz="0" w:space="0"/>
            <w:bottom w:val="none" w:sz="0" w:space="0"/>
            <w:right w:val="none" w:sz="0" w:space="0"/>
          </w:pgBorders>
          <w:pgNumType w:start="1"/>
          <w:cols w:space="425" w:num="1"/>
          <w:docGrid w:type="lines" w:linePitch="312" w:charSpace="0"/>
        </w:sectPr>
      </w:pPr>
    </w:p>
    <w:p>
      <w:pPr>
        <w:numPr>
          <w:ilvl w:val="0"/>
          <w:numId w:val="6"/>
        </w:numPr>
        <w:shd w:val="clear" w:color="FFFFFF" w:fill="FFFFFF"/>
        <w:tabs>
          <w:tab w:val="left" w:pos="6406"/>
        </w:tabs>
        <w:spacing w:before="78" w:beforeLines="25" w:after="156" w:afterLines="50"/>
        <w:jc w:val="center"/>
        <w:outlineLvl w:val="0"/>
        <w:rPr>
          <w:rFonts w:ascii="黑体" w:hAnsi="Times New Roman" w:eastAsia="黑体" w:cs="Times New Roman"/>
          <w:sz w:val="21"/>
          <w:lang w:val="en-US" w:eastAsia="zh-CN" w:bidi="ar-SA"/>
        </w:rPr>
      </w:pPr>
      <w:bookmarkStart w:id="115" w:name="_Toc90294506"/>
      <w:bookmarkStart w:id="116" w:name="_Toc3851"/>
    </w:p>
    <w:p>
      <w:pPr>
        <w:numPr>
          <w:ilvl w:val="0"/>
          <w:numId w:val="6"/>
        </w:numPr>
        <w:shd w:val="clear" w:color="FFFFFF" w:fill="FFFFFF"/>
        <w:tabs>
          <w:tab w:val="left" w:pos="6406"/>
        </w:tabs>
        <w:spacing w:before="78" w:beforeLines="25" w:after="156" w:afterLines="50"/>
        <w:jc w:val="center"/>
        <w:outlineLvl w:val="0"/>
        <w:rPr>
          <w:rFonts w:ascii="黑体" w:hAnsi="Times New Roman" w:eastAsia="黑体" w:cs="Times New Roman"/>
          <w:sz w:val="21"/>
          <w:lang w:val="en-US" w:eastAsia="zh-CN" w:bidi="ar-SA"/>
        </w:rPr>
      </w:pPr>
      <w:r>
        <w:rPr>
          <w:rFonts w:hint="eastAsia" w:ascii="黑体" w:hAnsi="Times New Roman" w:eastAsia="黑体" w:cs="Times New Roman"/>
          <w:sz w:val="21"/>
          <w:lang w:val="en-US" w:eastAsia="zh-CN" w:bidi="ar-SA"/>
        </w:rPr>
        <w:t>（资料性）</w:t>
      </w:r>
      <w:bookmarkEnd w:id="115"/>
    </w:p>
    <w:p>
      <w:pPr>
        <w:numPr>
          <w:ilvl w:val="0"/>
          <w:numId w:val="6"/>
        </w:numPr>
        <w:shd w:val="clear" w:color="FFFFFF" w:fill="FFFFFF"/>
        <w:tabs>
          <w:tab w:val="left" w:pos="6406"/>
        </w:tabs>
        <w:spacing w:before="78" w:beforeLines="25" w:after="156" w:afterLines="50"/>
        <w:jc w:val="center"/>
        <w:outlineLvl w:val="0"/>
        <w:rPr>
          <w:rFonts w:ascii="黑体" w:hAnsi="Times New Roman" w:eastAsia="黑体" w:cs="Times New Roman"/>
          <w:sz w:val="21"/>
          <w:lang w:val="en-US" w:eastAsia="zh-CN" w:bidi="ar-SA"/>
        </w:rPr>
      </w:pPr>
      <w:r>
        <w:rPr>
          <w:rFonts w:hint="eastAsia" w:ascii="黑体" w:hAnsi="Times New Roman" w:eastAsia="黑体" w:cs="Times New Roman"/>
          <w:sz w:val="21"/>
          <w:lang w:val="en-US" w:eastAsia="zh-CN" w:bidi="ar-SA"/>
        </w:rPr>
        <w:t>统一接入接口标准说明</w:t>
      </w:r>
      <w:bookmarkEnd w:id="116"/>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eastAsia" w:ascii="黑体" w:hAnsi="黑体" w:eastAsia="黑体" w:cs="黑体"/>
          <w:szCs w:val="21"/>
          <w:lang w:val="en-US" w:eastAsia="zh-CN"/>
        </w:rPr>
      </w:pPr>
      <w:bookmarkStart w:id="117" w:name="_Toc3749"/>
      <w:r>
        <w:rPr>
          <w:rFonts w:hint="eastAsia" w:hAnsi="黑体" w:cs="黑体"/>
          <w:szCs w:val="21"/>
          <w:lang w:val="en-US" w:eastAsia="zh-CN"/>
        </w:rPr>
        <w:t>A</w:t>
      </w:r>
      <w:r>
        <w:rPr>
          <w:rFonts w:hint="eastAsia" w:ascii="黑体" w:hAnsi="黑体" w:eastAsia="黑体" w:cs="黑体"/>
          <w:szCs w:val="21"/>
          <w:lang w:val="en-US" w:eastAsia="zh-CN"/>
        </w:rPr>
        <w:t>.1  跨境退货业务申报接口</w:t>
      </w:r>
      <w:bookmarkEnd w:id="117"/>
    </w:p>
    <w:p>
      <w:pPr>
        <w:bidi w:val="0"/>
        <w:ind w:firstLine="420" w:firstLineChars="200"/>
        <w:rPr>
          <w:rFonts w:hint="default"/>
          <w:lang w:val="en-US" w:eastAsia="zh-CN"/>
        </w:rPr>
      </w:pPr>
      <w:r>
        <w:rPr>
          <w:rFonts w:hint="eastAsia"/>
          <w:lang w:val="en-US" w:eastAsia="zh-CN"/>
        </w:rPr>
        <w:t>跨境企业向跨境电商退货监管服务平台申报单证数据。本接口采用的报文格式规范总署参照海关总署跨境电子商务统一版规范。详细内容见附录B。</w:t>
      </w: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eastAsia" w:hAnsi="黑体" w:cs="黑体"/>
          <w:szCs w:val="21"/>
          <w:lang w:val="en-US" w:eastAsia="zh-CN"/>
        </w:rPr>
      </w:pPr>
      <w:bookmarkStart w:id="118" w:name="_Toc7051"/>
      <w:r>
        <w:rPr>
          <w:rFonts w:hint="eastAsia" w:hAnsi="黑体" w:cs="黑体"/>
          <w:szCs w:val="21"/>
          <w:lang w:val="en-US" w:eastAsia="zh-CN"/>
        </w:rPr>
        <w:t>A.1.2  接口调用方式</w:t>
      </w:r>
      <w:bookmarkEnd w:id="118"/>
    </w:p>
    <w:p>
      <w:pPr>
        <w:bidi w:val="0"/>
        <w:ind w:firstLine="420" w:firstLineChars="200"/>
        <w:rPr>
          <w:rFonts w:hint="eastAsia"/>
          <w:lang w:val="en-US" w:eastAsia="zh-CN"/>
        </w:rPr>
      </w:pPr>
      <w:r>
        <w:rPr>
          <w:rFonts w:hint="eastAsia"/>
          <w:lang w:val="en-US" w:eastAsia="zh-CN"/>
        </w:rPr>
        <w:t>采用POST方式调用。</w:t>
      </w: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eastAsia" w:hAnsi="黑体" w:cs="黑体"/>
          <w:szCs w:val="21"/>
          <w:lang w:val="en-US" w:eastAsia="zh-CN"/>
        </w:rPr>
      </w:pPr>
      <w:bookmarkStart w:id="119" w:name="_Toc10052"/>
      <w:r>
        <w:rPr>
          <w:rFonts w:hint="eastAsia" w:hAnsi="黑体" w:cs="黑体"/>
          <w:szCs w:val="21"/>
          <w:lang w:val="en-US" w:eastAsia="zh-CN"/>
        </w:rPr>
        <w:t>A.1.3  接口参数说明</w:t>
      </w:r>
      <w:bookmarkEnd w:id="119"/>
    </w:p>
    <w:p>
      <w:pPr>
        <w:pStyle w:val="25"/>
        <w:rPr>
          <w:rFonts w:hint="eastAsia" w:hAnsi="黑体" w:cs="黑体"/>
          <w:szCs w:val="21"/>
          <w:lang w:val="en-US" w:eastAsia="zh-CN"/>
        </w:rPr>
      </w:pPr>
      <w:r>
        <w:rPr>
          <w:rFonts w:hint="eastAsia" w:hAnsi="黑体" w:cs="黑体"/>
          <w:szCs w:val="21"/>
          <w:lang w:val="en-US" w:eastAsia="zh-CN"/>
        </w:rPr>
        <w:t>接口参数见表A.1。</w:t>
      </w:r>
    </w:p>
    <w:p>
      <w:pPr>
        <w:pStyle w:val="5"/>
        <w:numPr>
          <w:ilvl w:val="255"/>
          <w:numId w:val="0"/>
        </w:numPr>
        <w:tabs>
          <w:tab w:val="left" w:pos="0"/>
        </w:tabs>
        <w:spacing w:before="156" w:after="156"/>
        <w:rPr>
          <w:rFonts w:hint="default" w:hAnsi="黑体" w:cs="黑体"/>
          <w:szCs w:val="21"/>
          <w:lang w:val="en-US" w:eastAsia="zh-CN"/>
        </w:rPr>
      </w:pPr>
      <w:r>
        <w:rPr>
          <w:rFonts w:hint="eastAsia" w:ascii="黑体" w:hAnsi="黑体" w:cs="黑体"/>
          <w:bCs w:val="0"/>
          <w:szCs w:val="21"/>
          <w:lang w:val="en-US" w:eastAsia="zh-CN"/>
        </w:rPr>
        <w:t>表A.1  接口参数</w:t>
      </w:r>
    </w:p>
    <w:tbl>
      <w:tblPr>
        <w:tblStyle w:val="18"/>
        <w:tblW w:w="8521" w:type="dxa"/>
        <w:jc w:val="center"/>
        <w:tblBorders>
          <w:top w:val="single" w:color="000000" w:sz="12" w:space="0"/>
          <w:left w:val="single" w:color="000000" w:sz="12" w:space="0"/>
          <w:bottom w:val="single" w:color="000000" w:sz="12" w:space="0"/>
          <w:right w:val="single" w:color="000000" w:sz="12" w:space="0"/>
          <w:insideH w:val="single" w:color="000000" w:themeColor="text1" w:sz="4" w:space="0"/>
          <w:insideV w:val="single" w:color="000000" w:themeColor="text1" w:sz="4" w:space="0"/>
        </w:tblBorders>
        <w:shd w:val="clear" w:color="auto" w:fill="auto"/>
        <w:tblLayout w:type="fixed"/>
        <w:tblCellMar>
          <w:top w:w="0" w:type="dxa"/>
          <w:left w:w="108" w:type="dxa"/>
          <w:bottom w:w="0" w:type="dxa"/>
          <w:right w:w="108" w:type="dxa"/>
        </w:tblCellMar>
      </w:tblPr>
      <w:tblGrid>
        <w:gridCol w:w="628"/>
        <w:gridCol w:w="1286"/>
        <w:gridCol w:w="1315"/>
        <w:gridCol w:w="978"/>
        <w:gridCol w:w="717"/>
        <w:gridCol w:w="606"/>
        <w:gridCol w:w="2991"/>
      </w:tblGrid>
      <w:tr>
        <w:tblPrEx>
          <w:tblBorders>
            <w:top w:val="single" w:color="000000" w:sz="12" w:space="0"/>
            <w:left w:val="single" w:color="000000" w:sz="12" w:space="0"/>
            <w:bottom w:val="single" w:color="000000" w:sz="12" w:space="0"/>
            <w:right w:val="single" w:color="000000"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628" w:type="dxa"/>
            <w:tcBorders>
              <w:bottom w:val="single" w:color="000000" w:sz="12" w:space="0"/>
            </w:tcBorders>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序号</w:t>
            </w:r>
          </w:p>
        </w:tc>
        <w:tc>
          <w:tcPr>
            <w:tcW w:w="1286" w:type="dxa"/>
            <w:tcBorders>
              <w:bottom w:val="single" w:color="000000" w:sz="12" w:space="0"/>
            </w:tcBorders>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参数名</w:t>
            </w:r>
          </w:p>
        </w:tc>
        <w:tc>
          <w:tcPr>
            <w:tcW w:w="1315" w:type="dxa"/>
            <w:tcBorders>
              <w:bottom w:val="single" w:color="000000" w:sz="12" w:space="0"/>
            </w:tcBorders>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字段名</w:t>
            </w:r>
          </w:p>
        </w:tc>
        <w:tc>
          <w:tcPr>
            <w:tcW w:w="978" w:type="dxa"/>
            <w:tcBorders>
              <w:bottom w:val="single" w:color="000000" w:sz="12" w:space="0"/>
            </w:tcBorders>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类型</w:t>
            </w:r>
          </w:p>
        </w:tc>
        <w:tc>
          <w:tcPr>
            <w:tcW w:w="717" w:type="dxa"/>
            <w:tcBorders>
              <w:bottom w:val="single" w:color="000000" w:sz="12" w:space="0"/>
            </w:tcBorders>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长度</w:t>
            </w:r>
          </w:p>
        </w:tc>
        <w:tc>
          <w:tcPr>
            <w:tcW w:w="606" w:type="dxa"/>
            <w:tcBorders>
              <w:bottom w:val="single" w:color="000000" w:sz="12" w:space="0"/>
            </w:tcBorders>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必填</w:t>
            </w:r>
          </w:p>
        </w:tc>
        <w:tc>
          <w:tcPr>
            <w:tcW w:w="2991" w:type="dxa"/>
            <w:tcBorders>
              <w:bottom w:val="single" w:color="000000" w:sz="12" w:space="0"/>
            </w:tcBorders>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说明</w:t>
            </w:r>
          </w:p>
        </w:tc>
      </w:tr>
      <w:tr>
        <w:tblPrEx>
          <w:tblBorders>
            <w:top w:val="single" w:color="000000" w:sz="12" w:space="0"/>
            <w:left w:val="single" w:color="000000" w:sz="12" w:space="0"/>
            <w:bottom w:val="single" w:color="000000" w:sz="12" w:space="0"/>
            <w:right w:val="single" w:color="000000"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628" w:type="dxa"/>
            <w:tcBorders>
              <w:top w:val="single" w:color="000000" w:sz="12" w:space="0"/>
            </w:tcBorders>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1</w:t>
            </w:r>
          </w:p>
        </w:tc>
        <w:tc>
          <w:tcPr>
            <w:tcW w:w="1286" w:type="dxa"/>
            <w:tcBorders>
              <w:top w:val="single" w:color="000000" w:sz="12" w:space="0"/>
            </w:tcBorders>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appId</w:t>
            </w:r>
          </w:p>
        </w:tc>
        <w:tc>
          <w:tcPr>
            <w:tcW w:w="1315" w:type="dxa"/>
            <w:tcBorders>
              <w:top w:val="single" w:color="000000" w:sz="12" w:space="0"/>
            </w:tcBorders>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应用唯一标识</w:t>
            </w:r>
          </w:p>
        </w:tc>
        <w:tc>
          <w:tcPr>
            <w:tcW w:w="978" w:type="dxa"/>
            <w:tcBorders>
              <w:top w:val="single" w:color="000000" w:sz="12" w:space="0"/>
            </w:tcBorders>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VARCHAR2</w:t>
            </w:r>
          </w:p>
        </w:tc>
        <w:tc>
          <w:tcPr>
            <w:tcW w:w="717" w:type="dxa"/>
            <w:tcBorders>
              <w:top w:val="single" w:color="000000" w:sz="12" w:space="0"/>
            </w:tcBorders>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8</w:t>
            </w:r>
          </w:p>
        </w:tc>
        <w:tc>
          <w:tcPr>
            <w:tcW w:w="606" w:type="dxa"/>
            <w:tcBorders>
              <w:top w:val="single" w:color="000000" w:sz="12" w:space="0"/>
            </w:tcBorders>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是</w:t>
            </w:r>
          </w:p>
        </w:tc>
        <w:tc>
          <w:tcPr>
            <w:tcW w:w="2991" w:type="dxa"/>
            <w:tcBorders>
              <w:top w:val="single" w:color="000000" w:sz="12" w:space="0"/>
            </w:tcBorders>
            <w:shd w:val="clear" w:color="auto" w:fill="auto"/>
            <w:vAlign w:val="center"/>
          </w:tcPr>
          <w:p>
            <w:pPr>
              <w:jc w:val="left"/>
              <w:rPr>
                <w:rFonts w:hint="eastAsia" w:ascii="宋体" w:hAnsi="宋体" w:eastAsia="宋体" w:cs="宋体"/>
                <w:sz w:val="18"/>
                <w:szCs w:val="18"/>
              </w:rPr>
            </w:pPr>
            <w:r>
              <w:rPr>
                <w:rFonts w:hint="eastAsia" w:ascii="宋体" w:hAnsi="宋体" w:eastAsia="宋体" w:cs="宋体"/>
                <w:sz w:val="18"/>
                <w:szCs w:val="18"/>
              </w:rPr>
              <w:t>由</w:t>
            </w:r>
            <w:r>
              <w:rPr>
                <w:rFonts w:hint="eastAsia" w:cs="宋体"/>
                <w:sz w:val="18"/>
                <w:szCs w:val="18"/>
                <w:lang w:val="en-US" w:eastAsia="zh-CN"/>
              </w:rPr>
              <w:t>建设单位</w:t>
            </w:r>
            <w:r>
              <w:rPr>
                <w:rFonts w:hint="eastAsia" w:ascii="宋体" w:hAnsi="宋体" w:eastAsia="宋体" w:cs="宋体"/>
                <w:sz w:val="18"/>
                <w:szCs w:val="18"/>
              </w:rPr>
              <w:t>分配，测试环境APPID:RYT00001</w:t>
            </w:r>
          </w:p>
        </w:tc>
      </w:tr>
      <w:tr>
        <w:tblPrEx>
          <w:tblBorders>
            <w:top w:val="single" w:color="000000" w:sz="12" w:space="0"/>
            <w:left w:val="single" w:color="000000" w:sz="12" w:space="0"/>
            <w:bottom w:val="single" w:color="000000" w:sz="12" w:space="0"/>
            <w:right w:val="single" w:color="000000"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628"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2</w:t>
            </w:r>
          </w:p>
        </w:tc>
        <w:tc>
          <w:tcPr>
            <w:tcW w:w="1286"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bizCode</w:t>
            </w:r>
          </w:p>
        </w:tc>
        <w:tc>
          <w:tcPr>
            <w:tcW w:w="1315"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业务代码</w:t>
            </w:r>
          </w:p>
        </w:tc>
        <w:tc>
          <w:tcPr>
            <w:tcW w:w="978"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VARCHAR2</w:t>
            </w:r>
          </w:p>
        </w:tc>
        <w:tc>
          <w:tcPr>
            <w:tcW w:w="717"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8</w:t>
            </w:r>
          </w:p>
        </w:tc>
        <w:tc>
          <w:tcPr>
            <w:tcW w:w="606"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是</w:t>
            </w:r>
          </w:p>
        </w:tc>
        <w:tc>
          <w:tcPr>
            <w:tcW w:w="2991" w:type="dxa"/>
            <w:shd w:val="clear" w:color="auto" w:fill="auto"/>
            <w:vAlign w:val="center"/>
          </w:tcPr>
          <w:p>
            <w:pPr>
              <w:jc w:val="left"/>
              <w:rPr>
                <w:rFonts w:hint="eastAsia" w:ascii="宋体" w:hAnsi="宋体" w:eastAsia="宋体" w:cs="宋体"/>
                <w:sz w:val="18"/>
                <w:szCs w:val="18"/>
                <w:lang w:eastAsia="zh-CN"/>
              </w:rPr>
            </w:pPr>
            <w:r>
              <w:rPr>
                <w:rFonts w:hint="eastAsia" w:ascii="宋体" w:hAnsi="宋体" w:eastAsia="宋体" w:cs="宋体"/>
                <w:sz w:val="18"/>
                <w:szCs w:val="18"/>
              </w:rPr>
              <w:t>必填，必须为8位字符串，规则：DEN+三位数字编号+00，比如：退货清单则填写DEN21300，理货明细填写DEN21500。具体</w:t>
            </w:r>
            <w:r>
              <w:rPr>
                <w:rFonts w:hint="eastAsia" w:ascii="宋体" w:hAnsi="宋体" w:eastAsia="宋体" w:cs="宋体"/>
                <w:sz w:val="18"/>
                <w:szCs w:val="18"/>
                <w:lang w:val="en-US" w:eastAsia="zh-CN"/>
              </w:rPr>
              <w:t>内容见附录B</w:t>
            </w:r>
            <w:r>
              <w:rPr>
                <w:rFonts w:hint="eastAsia" w:ascii="宋体" w:hAnsi="宋体" w:eastAsia="宋体" w:cs="宋体"/>
                <w:sz w:val="18"/>
                <w:szCs w:val="18"/>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628"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3</w:t>
            </w:r>
          </w:p>
        </w:tc>
        <w:tc>
          <w:tcPr>
            <w:tcW w:w="1286"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bizId</w:t>
            </w:r>
          </w:p>
        </w:tc>
        <w:tc>
          <w:tcPr>
            <w:tcW w:w="1315"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业务ID</w:t>
            </w:r>
          </w:p>
        </w:tc>
        <w:tc>
          <w:tcPr>
            <w:tcW w:w="978"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VARCHAR2</w:t>
            </w:r>
          </w:p>
        </w:tc>
        <w:tc>
          <w:tcPr>
            <w:tcW w:w="717"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1..50</w:t>
            </w:r>
          </w:p>
        </w:tc>
        <w:tc>
          <w:tcPr>
            <w:tcW w:w="606"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是</w:t>
            </w:r>
          </w:p>
        </w:tc>
        <w:tc>
          <w:tcPr>
            <w:tcW w:w="2991"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填写报文头属性的guid</w:t>
            </w:r>
          </w:p>
        </w:tc>
      </w:tr>
      <w:tr>
        <w:tblPrEx>
          <w:tblBorders>
            <w:top w:val="single" w:color="000000" w:sz="12" w:space="0"/>
            <w:left w:val="single" w:color="000000" w:sz="12" w:space="0"/>
            <w:bottom w:val="single" w:color="000000" w:sz="12" w:space="0"/>
            <w:right w:val="single" w:color="000000"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628"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4</w:t>
            </w:r>
          </w:p>
        </w:tc>
        <w:tc>
          <w:tcPr>
            <w:tcW w:w="1286"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content</w:t>
            </w:r>
          </w:p>
        </w:tc>
        <w:tc>
          <w:tcPr>
            <w:tcW w:w="1315"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业务报文内容</w:t>
            </w:r>
          </w:p>
        </w:tc>
        <w:tc>
          <w:tcPr>
            <w:tcW w:w="978"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VARCHAR2</w:t>
            </w:r>
          </w:p>
        </w:tc>
        <w:tc>
          <w:tcPr>
            <w:tcW w:w="717"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&lt;1M</w:t>
            </w:r>
          </w:p>
        </w:tc>
        <w:tc>
          <w:tcPr>
            <w:tcW w:w="606"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是</w:t>
            </w:r>
          </w:p>
        </w:tc>
        <w:tc>
          <w:tcPr>
            <w:tcW w:w="2991" w:type="dxa"/>
            <w:shd w:val="clear" w:color="auto" w:fill="auto"/>
            <w:vAlign w:val="center"/>
          </w:tcPr>
          <w:p>
            <w:pPr>
              <w:jc w:val="center"/>
              <w:rPr>
                <w:rFonts w:hint="default" w:ascii="宋体" w:hAnsi="宋体" w:eastAsia="宋体" w:cs="宋体"/>
                <w:sz w:val="18"/>
                <w:szCs w:val="18"/>
                <w:lang w:val="en-US" w:eastAsia="zh-CN"/>
              </w:rPr>
            </w:pPr>
            <w:r>
              <w:rPr>
                <w:rFonts w:hint="eastAsia" w:ascii="宋体" w:hAnsi="宋体" w:eastAsia="宋体" w:cs="宋体"/>
                <w:sz w:val="18"/>
                <w:szCs w:val="18"/>
              </w:rPr>
              <w:t>报文规范定义见</w:t>
            </w:r>
            <w:r>
              <w:rPr>
                <w:rFonts w:hint="eastAsia" w:ascii="宋体" w:hAnsi="宋体" w:eastAsia="宋体" w:cs="宋体"/>
                <w:sz w:val="18"/>
                <w:szCs w:val="18"/>
                <w:lang w:val="en-US" w:eastAsia="zh-CN"/>
              </w:rPr>
              <w:t>附录B</w:t>
            </w:r>
          </w:p>
        </w:tc>
      </w:tr>
      <w:tr>
        <w:tblPrEx>
          <w:tblBorders>
            <w:top w:val="single" w:color="000000" w:sz="12" w:space="0"/>
            <w:left w:val="single" w:color="000000" w:sz="12" w:space="0"/>
            <w:bottom w:val="single" w:color="000000" w:sz="12" w:space="0"/>
            <w:right w:val="single" w:color="000000"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628"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5</w:t>
            </w:r>
          </w:p>
        </w:tc>
        <w:tc>
          <w:tcPr>
            <w:tcW w:w="1286"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timestamp</w:t>
            </w:r>
          </w:p>
        </w:tc>
        <w:tc>
          <w:tcPr>
            <w:tcW w:w="1315"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请求时间戳</w:t>
            </w:r>
          </w:p>
        </w:tc>
        <w:tc>
          <w:tcPr>
            <w:tcW w:w="978"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VARCHAR2</w:t>
            </w:r>
          </w:p>
        </w:tc>
        <w:tc>
          <w:tcPr>
            <w:tcW w:w="717" w:type="dxa"/>
            <w:shd w:val="clear" w:color="auto" w:fill="auto"/>
            <w:vAlign w:val="center"/>
          </w:tcPr>
          <w:p>
            <w:pPr>
              <w:jc w:val="center"/>
              <w:rPr>
                <w:rFonts w:hint="eastAsia" w:ascii="宋体" w:hAnsi="宋体" w:eastAsia="宋体" w:cs="宋体"/>
                <w:sz w:val="18"/>
                <w:szCs w:val="18"/>
                <w:lang w:val="en-US" w:eastAsia="zh-CN"/>
              </w:rPr>
            </w:pPr>
            <w:r>
              <w:rPr>
                <w:rFonts w:hint="eastAsia" w:cs="宋体"/>
                <w:sz w:val="18"/>
                <w:szCs w:val="18"/>
                <w:lang w:val="en-US" w:eastAsia="zh-CN"/>
              </w:rPr>
              <w:t>/</w:t>
            </w:r>
          </w:p>
        </w:tc>
        <w:tc>
          <w:tcPr>
            <w:tcW w:w="606"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是</w:t>
            </w:r>
          </w:p>
        </w:tc>
        <w:tc>
          <w:tcPr>
            <w:tcW w:w="2991" w:type="dxa"/>
            <w:shd w:val="clear" w:color="auto" w:fill="auto"/>
            <w:vAlign w:val="center"/>
          </w:tcPr>
          <w:p>
            <w:pPr>
              <w:jc w:val="left"/>
              <w:rPr>
                <w:rFonts w:hint="eastAsia" w:ascii="宋体" w:hAnsi="宋体" w:eastAsia="宋体" w:cs="宋体"/>
                <w:sz w:val="18"/>
                <w:szCs w:val="18"/>
              </w:rPr>
            </w:pPr>
            <w:r>
              <w:rPr>
                <w:rFonts w:hint="eastAsia" w:ascii="宋体" w:hAnsi="宋体" w:eastAsia="宋体" w:cs="宋体"/>
                <w:sz w:val="18"/>
                <w:szCs w:val="18"/>
              </w:rPr>
              <w:t>长整型。定义为从格林威治时间1970年01月01日00时00分00秒起至现在的总毫秒数。</w:t>
            </w:r>
          </w:p>
          <w:p>
            <w:pPr>
              <w:jc w:val="left"/>
              <w:rPr>
                <w:rFonts w:hint="eastAsia" w:ascii="宋体" w:hAnsi="宋体" w:eastAsia="宋体" w:cs="宋体"/>
                <w:sz w:val="18"/>
                <w:szCs w:val="18"/>
              </w:rPr>
            </w:pPr>
            <w:r>
              <w:rPr>
                <w:rFonts w:hint="eastAsia" w:ascii="宋体" w:hAnsi="宋体" w:eastAsia="宋体" w:cs="宋体"/>
                <w:sz w:val="18"/>
                <w:szCs w:val="18"/>
              </w:rPr>
              <w:t>请求时间戳与服务器接收时间间隔24小时将视为请求超期。</w:t>
            </w:r>
          </w:p>
        </w:tc>
      </w:tr>
      <w:tr>
        <w:tblPrEx>
          <w:tblBorders>
            <w:top w:val="single" w:color="000000" w:sz="12" w:space="0"/>
            <w:left w:val="single" w:color="000000" w:sz="12" w:space="0"/>
            <w:bottom w:val="single" w:color="000000" w:sz="12" w:space="0"/>
            <w:right w:val="single" w:color="000000"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163" w:hRule="atLeast"/>
          <w:jc w:val="center"/>
        </w:trPr>
        <w:tc>
          <w:tcPr>
            <w:tcW w:w="628"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6</w:t>
            </w:r>
          </w:p>
        </w:tc>
        <w:tc>
          <w:tcPr>
            <w:tcW w:w="1286"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sign</w:t>
            </w:r>
          </w:p>
        </w:tc>
        <w:tc>
          <w:tcPr>
            <w:tcW w:w="1315"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数据签名</w:t>
            </w:r>
          </w:p>
        </w:tc>
        <w:tc>
          <w:tcPr>
            <w:tcW w:w="978"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VARCHAR2</w:t>
            </w:r>
          </w:p>
        </w:tc>
        <w:tc>
          <w:tcPr>
            <w:tcW w:w="717"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40</w:t>
            </w:r>
          </w:p>
        </w:tc>
        <w:tc>
          <w:tcPr>
            <w:tcW w:w="606"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是</w:t>
            </w:r>
          </w:p>
        </w:tc>
        <w:tc>
          <w:tcPr>
            <w:tcW w:w="2991" w:type="dxa"/>
            <w:shd w:val="clear" w:color="auto" w:fill="auto"/>
            <w:vAlign w:val="center"/>
          </w:tcPr>
          <w:p>
            <w:pPr>
              <w:jc w:val="left"/>
              <w:rPr>
                <w:rFonts w:hint="eastAsia" w:ascii="宋体" w:hAnsi="宋体" w:eastAsia="宋体" w:cs="宋体"/>
                <w:sz w:val="18"/>
                <w:szCs w:val="18"/>
              </w:rPr>
            </w:pPr>
            <w:r>
              <w:rPr>
                <w:rFonts w:hint="eastAsia" w:ascii="宋体" w:hAnsi="宋体" w:eastAsia="宋体" w:cs="宋体"/>
                <w:sz w:val="18"/>
                <w:szCs w:val="18"/>
              </w:rPr>
              <w:t>对数据的签名，采用SHA1算法。sign=SHA1(“bizCode=业务代码&amp;bizId=业务ID&amp;content=业务报文内容&amp;timestamp=请求时间戳&amp;appKey=接口签名密钥”)，JAVA客户端可参照1.7示例代码API获取</w:t>
            </w:r>
          </w:p>
        </w:tc>
      </w:tr>
      <w:tr>
        <w:tblPrEx>
          <w:tblBorders>
            <w:top w:val="single" w:color="000000" w:sz="12" w:space="0"/>
            <w:left w:val="single" w:color="000000" w:sz="12" w:space="0"/>
            <w:bottom w:val="single" w:color="000000" w:sz="12" w:space="0"/>
            <w:right w:val="single" w:color="000000"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628"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7</w:t>
            </w:r>
          </w:p>
        </w:tc>
        <w:tc>
          <w:tcPr>
            <w:tcW w:w="1286"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companyCode</w:t>
            </w:r>
          </w:p>
        </w:tc>
        <w:tc>
          <w:tcPr>
            <w:tcW w:w="1315"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企业备案编号</w:t>
            </w:r>
          </w:p>
        </w:tc>
        <w:tc>
          <w:tcPr>
            <w:tcW w:w="978"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VARCHAR2</w:t>
            </w:r>
          </w:p>
        </w:tc>
        <w:tc>
          <w:tcPr>
            <w:tcW w:w="717"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10</w:t>
            </w:r>
          </w:p>
        </w:tc>
        <w:tc>
          <w:tcPr>
            <w:tcW w:w="606"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是</w:t>
            </w:r>
          </w:p>
        </w:tc>
        <w:tc>
          <w:tcPr>
            <w:tcW w:w="2991"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企业海关注册编号</w:t>
            </w:r>
          </w:p>
        </w:tc>
      </w:tr>
    </w:tbl>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eastAsia" w:hAnsi="黑体" w:cs="黑体"/>
          <w:szCs w:val="21"/>
          <w:lang w:val="en-US" w:eastAsia="zh-CN"/>
        </w:rPr>
      </w:pPr>
      <w:bookmarkStart w:id="120" w:name="_Toc8571"/>
      <w:r>
        <w:rPr>
          <w:rFonts w:hint="eastAsia" w:hAnsi="黑体" w:cs="黑体"/>
          <w:szCs w:val="21"/>
          <w:lang w:val="en-US" w:eastAsia="zh-CN"/>
        </w:rPr>
        <w:t>A.1.4  接口返回说明</w:t>
      </w:r>
      <w:bookmarkEnd w:id="120"/>
    </w:p>
    <w:p>
      <w:pPr>
        <w:bidi w:val="0"/>
        <w:ind w:firstLine="420" w:firstLineChars="200"/>
      </w:pPr>
      <w:r>
        <w:rPr>
          <w:rFonts w:hint="eastAsia"/>
        </w:rPr>
        <w:t>{“code</w:t>
      </w:r>
      <w:r>
        <w:t>”</w:t>
      </w:r>
      <w:r>
        <w:rPr>
          <w:rFonts w:hint="eastAsia"/>
        </w:rPr>
        <w:t>:“0”，</w:t>
      </w:r>
      <w:r>
        <w:t>“</w:t>
      </w:r>
      <w:r>
        <w:rPr>
          <w:rFonts w:hint="eastAsia"/>
        </w:rPr>
        <w:t>message</w:t>
      </w:r>
      <w:r>
        <w:t>”</w:t>
      </w:r>
      <w:r>
        <w:rPr>
          <w:rFonts w:hint="eastAsia"/>
        </w:rPr>
        <w:t>:“同步回执(报文结构参考1.2.3章节)”}</w:t>
      </w:r>
    </w:p>
    <w:p>
      <w:pPr>
        <w:bidi w:val="0"/>
        <w:ind w:firstLine="420" w:firstLineChars="200"/>
      </w:pPr>
      <w:r>
        <w:rPr>
          <w:rFonts w:hint="eastAsia"/>
        </w:rPr>
        <w:t>{“code</w:t>
      </w:r>
      <w:r>
        <w:t>”</w:t>
      </w:r>
      <w:r>
        <w:rPr>
          <w:rFonts w:hint="eastAsia"/>
        </w:rPr>
        <w:t>:“</w:t>
      </w:r>
      <w:r>
        <w:t>1050</w:t>
      </w:r>
      <w:r>
        <w:rPr>
          <w:rFonts w:hint="eastAsia"/>
        </w:rPr>
        <w:t>”，</w:t>
      </w:r>
      <w:r>
        <w:t>“</w:t>
      </w:r>
      <w:r>
        <w:rPr>
          <w:rFonts w:hint="eastAsia"/>
        </w:rPr>
        <w:t>message</w:t>
      </w:r>
      <w:r>
        <w:t>”</w:t>
      </w:r>
      <w:r>
        <w:rPr>
          <w:rFonts w:hint="eastAsia"/>
        </w:rPr>
        <w:t>:“</w:t>
      </w:r>
      <w:r>
        <w:t>appId</w:t>
      </w:r>
      <w:r>
        <w:rPr>
          <w:rFonts w:hint="eastAsia"/>
        </w:rPr>
        <w:t>不能为空”}</w:t>
      </w:r>
    </w:p>
    <w:p>
      <w:pPr>
        <w:pStyle w:val="5"/>
        <w:numPr>
          <w:ilvl w:val="255"/>
          <w:numId w:val="0"/>
        </w:numPr>
        <w:tabs>
          <w:tab w:val="left" w:pos="0"/>
        </w:tabs>
        <w:spacing w:before="156" w:after="156"/>
        <w:rPr>
          <w:rFonts w:hint="eastAsia" w:ascii="黑体" w:hAnsi="黑体" w:cs="黑体"/>
          <w:bCs w:val="0"/>
          <w:szCs w:val="21"/>
          <w:lang w:val="en-US" w:eastAsia="zh-CN"/>
        </w:rPr>
      </w:pPr>
      <w:r>
        <w:rPr>
          <w:rFonts w:hint="eastAsia" w:ascii="黑体" w:hAnsi="黑体" w:cs="黑体"/>
          <w:bCs w:val="0"/>
          <w:szCs w:val="21"/>
          <w:lang w:val="en-US" w:eastAsia="zh-CN"/>
        </w:rPr>
        <w:t>表A.2  代码表</w:t>
      </w:r>
    </w:p>
    <w:tbl>
      <w:tblPr>
        <w:tblStyle w:val="18"/>
        <w:tblW w:w="8521" w:type="dxa"/>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Layout w:type="autofit"/>
        <w:tblCellMar>
          <w:top w:w="0" w:type="dxa"/>
          <w:left w:w="108" w:type="dxa"/>
          <w:bottom w:w="0" w:type="dxa"/>
          <w:right w:w="108" w:type="dxa"/>
        </w:tblCellMar>
      </w:tblPr>
      <w:tblGrid>
        <w:gridCol w:w="3309"/>
        <w:gridCol w:w="5212"/>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bottom w:val="single" w:color="000000" w:themeColor="text1" w:sz="12" w:space="0"/>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编码（code）</w:t>
            </w:r>
          </w:p>
        </w:tc>
        <w:tc>
          <w:tcPr>
            <w:tcW w:w="5212" w:type="dxa"/>
            <w:tcBorders>
              <w:bottom w:val="single" w:color="000000" w:themeColor="text1" w:sz="12" w:space="0"/>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描述（message）</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op w:val="single" w:color="000000" w:themeColor="text1" w:sz="12" w:space="0"/>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0</w:t>
            </w:r>
          </w:p>
        </w:tc>
        <w:tc>
          <w:tcPr>
            <w:tcW w:w="5212" w:type="dxa"/>
            <w:tcBorders>
              <w:top w:val="single" w:color="000000" w:themeColor="text1" w:sz="12" w:space="0"/>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同步回执(报文结构参考1.2.3章节)</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失败（未明确定义的错误）</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1050</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appId不能为空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1051</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bizCode不能为空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1052</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bizId不能为空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1053</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content不能为空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1054</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timestamp不能为空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1055</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sign不能为空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1061</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接口服务未开放</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1062</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应用访问权限不足，请确认是否有调用该业务的权限</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1063</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业务层当前请求数过多,请稍后再试</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1064</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访问被拒绝</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1065</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数据重复提交</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1066</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接入层当前请求数过多,请稍后再试</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1067</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数据签名错误</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1068</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请求超时</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1069</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APP对应的客户端IP不正确</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1070</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路由地址未找到</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1071</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后台业务请求超时</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1072</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超出业务调用次数限制</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1073</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业务层返回HTTP状态码错误</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2201</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请求报文必填字段为空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2202</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请求报文格式错误</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2203</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请求报文为空或null</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2204</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service服务异常</w:t>
            </w:r>
          </w:p>
        </w:tc>
      </w:tr>
    </w:tbl>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default" w:hAnsi="黑体" w:cs="黑体"/>
          <w:szCs w:val="21"/>
          <w:lang w:val="en-US" w:eastAsia="zh-CN"/>
        </w:rPr>
      </w:pPr>
      <w:bookmarkStart w:id="121" w:name="_Toc27936"/>
      <w:r>
        <w:rPr>
          <w:rFonts w:hint="eastAsia" w:hAnsi="黑体" w:cs="黑体"/>
          <w:szCs w:val="21"/>
          <w:lang w:val="en-US" w:eastAsia="zh-CN"/>
        </w:rPr>
        <w:t>A.1.5  接口编码格式</w:t>
      </w:r>
      <w:bookmarkEnd w:id="121"/>
    </w:p>
    <w:p>
      <w:pPr>
        <w:bidi w:val="0"/>
        <w:ind w:firstLine="420" w:firstLineChars="200"/>
      </w:pPr>
      <w:r>
        <w:rPr>
          <w:rFonts w:hint="eastAsia"/>
        </w:rPr>
        <w:t>接口数据采用UTF-8编码。</w:t>
      </w: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default" w:hAnsi="黑体" w:cs="黑体"/>
          <w:szCs w:val="21"/>
          <w:lang w:val="en-US" w:eastAsia="zh-CN"/>
        </w:rPr>
      </w:pPr>
      <w:bookmarkStart w:id="122" w:name="_Toc25603"/>
      <w:r>
        <w:rPr>
          <w:rFonts w:hint="eastAsia" w:hAnsi="黑体" w:cs="黑体"/>
          <w:szCs w:val="21"/>
          <w:lang w:val="en-US" w:eastAsia="zh-CN"/>
        </w:rPr>
        <w:t>A.1.6  接口编码密钥</w:t>
      </w:r>
      <w:bookmarkEnd w:id="122"/>
    </w:p>
    <w:p>
      <w:pPr>
        <w:bidi w:val="0"/>
        <w:ind w:firstLine="420" w:firstLineChars="200"/>
      </w:pPr>
      <w:r>
        <w:rPr>
          <w:rFonts w:hint="eastAsia"/>
        </w:rPr>
        <w:t>应用密钥（appKey）用于接口签名。由</w:t>
      </w:r>
      <w:r>
        <w:rPr>
          <w:rFonts w:hint="eastAsia"/>
          <w:lang w:val="en-US" w:eastAsia="zh-CN"/>
        </w:rPr>
        <w:t>建设单位</w:t>
      </w:r>
      <w:r>
        <w:rPr>
          <w:rFonts w:hint="eastAsia"/>
        </w:rPr>
        <w:t>统一颁发，请接入方妥善保管，防止泄露。</w:t>
      </w: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eastAsia" w:hAnsi="黑体" w:cs="黑体"/>
          <w:szCs w:val="21"/>
          <w:lang w:val="en-US" w:eastAsia="zh-CN"/>
        </w:rPr>
      </w:pPr>
      <w:bookmarkStart w:id="123" w:name="_Toc6102"/>
      <w:r>
        <w:rPr>
          <w:rFonts w:hint="eastAsia" w:hAnsi="黑体" w:cs="黑体"/>
          <w:szCs w:val="21"/>
          <w:lang w:val="en-US" w:eastAsia="zh-CN"/>
        </w:rPr>
        <w:t>A.1.7  接口调用示例</w:t>
      </w:r>
      <w:bookmarkEnd w:id="123"/>
    </w:p>
    <w:p>
      <w:pPr>
        <w:bidi w:val="0"/>
        <w:ind w:firstLine="420" w:firstLineChars="200"/>
        <w:rPr>
          <w:rFonts w:hint="default"/>
          <w:lang w:val="en-US" w:eastAsia="zh-CN"/>
        </w:rPr>
      </w:pPr>
      <w:r>
        <w:rPr>
          <w:rFonts w:hint="eastAsia"/>
          <w:lang w:val="en-US" w:eastAsia="zh-CN"/>
        </w:rPr>
        <w:t>Java代码示例见图A.1。</w:t>
      </w:r>
    </w:p>
    <w:p>
      <w:pPr>
        <w:bidi w:val="0"/>
        <w:rPr>
          <w:rFonts w:hint="eastAsia"/>
          <w:lang w:val="en-US" w:eastAsia="zh-CN"/>
        </w:rPr>
      </w:pPr>
      <w:r>
        <w:drawing>
          <wp:inline distT="0" distB="0" distL="114300" distR="114300">
            <wp:extent cx="5271770" cy="6177915"/>
            <wp:effectExtent l="0" t="0" r="5080" b="0"/>
            <wp:docPr id="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pic:cNvPicPr>
                      <a:picLocks noChangeAspect="1"/>
                    </pic:cNvPicPr>
                  </pic:nvPicPr>
                  <pic:blipFill>
                    <a:blip r:embed="rId22"/>
                    <a:srcRect b="8165"/>
                    <a:stretch>
                      <a:fillRect/>
                    </a:stretch>
                  </pic:blipFill>
                  <pic:spPr>
                    <a:xfrm>
                      <a:off x="0" y="0"/>
                      <a:ext cx="5271770" cy="6177915"/>
                    </a:xfrm>
                    <a:prstGeom prst="rect">
                      <a:avLst/>
                    </a:prstGeom>
                    <a:noFill/>
                    <a:ln>
                      <a:noFill/>
                    </a:ln>
                  </pic:spPr>
                </pic:pic>
              </a:graphicData>
            </a:graphic>
          </wp:inline>
        </w:drawing>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图A.1  接口调用Java代码示例</w:t>
      </w: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default" w:hAnsi="黑体" w:cs="黑体"/>
          <w:szCs w:val="21"/>
          <w:lang w:val="en-US" w:eastAsia="zh-CN"/>
        </w:rPr>
      </w:pPr>
      <w:bookmarkStart w:id="124" w:name="_Toc276"/>
      <w:r>
        <w:rPr>
          <w:rFonts w:hint="eastAsia" w:hAnsi="黑体" w:cs="黑体"/>
          <w:szCs w:val="21"/>
          <w:lang w:val="en-US" w:eastAsia="zh-CN"/>
        </w:rPr>
        <w:t>A.1.8  接口调试工具</w:t>
      </w:r>
      <w:bookmarkEnd w:id="124"/>
    </w:p>
    <w:p>
      <w:pPr>
        <w:bidi w:val="0"/>
        <w:ind w:firstLine="420" w:firstLineChars="200"/>
        <w:rPr>
          <w:rFonts w:hint="eastAsia"/>
          <w:lang w:val="en-US" w:eastAsia="zh-CN"/>
        </w:rPr>
      </w:pPr>
      <w:r>
        <w:rPr>
          <w:rFonts w:hint="eastAsia"/>
          <w:lang w:val="en-US" w:eastAsia="zh-CN"/>
        </w:rPr>
        <w:t>https://openapi-test.zjport.gov.cn:8553/gateway/test/inputceb</w:t>
      </w: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default" w:hAnsi="黑体" w:cs="黑体"/>
          <w:szCs w:val="21"/>
          <w:lang w:val="en-US" w:eastAsia="zh-CN"/>
        </w:rPr>
      </w:pPr>
      <w:bookmarkStart w:id="125" w:name="_Toc3240"/>
      <w:r>
        <w:rPr>
          <w:rFonts w:hint="eastAsia" w:hAnsi="黑体" w:cs="黑体"/>
          <w:szCs w:val="21"/>
          <w:lang w:val="en-US" w:eastAsia="zh-CN"/>
        </w:rPr>
        <w:t>A.1.9  接口地址限制</w:t>
      </w:r>
      <w:bookmarkEnd w:id="125"/>
    </w:p>
    <w:p>
      <w:pPr>
        <w:bidi w:val="0"/>
        <w:ind w:firstLine="420" w:firstLineChars="200"/>
        <w:rPr>
          <w:rFonts w:hint="eastAsia"/>
          <w:lang w:val="en-US" w:eastAsia="zh-CN"/>
        </w:rPr>
      </w:pPr>
      <w:r>
        <w:rPr>
          <w:rFonts w:hint="eastAsia"/>
          <w:lang w:val="en-US" w:eastAsia="zh-CN"/>
        </w:rPr>
        <w:t>接入系统对客户端IP有限制，上生产环境时请提供客户端公网IP。</w:t>
      </w: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eastAsia" w:hAnsi="黑体" w:cs="黑体"/>
          <w:szCs w:val="21"/>
          <w:lang w:val="en-US" w:eastAsia="zh-CN"/>
        </w:rPr>
      </w:pPr>
      <w:bookmarkStart w:id="126" w:name="_Toc21430"/>
      <w:r>
        <w:rPr>
          <w:rFonts w:hint="eastAsia" w:hAnsi="黑体" w:cs="黑体"/>
          <w:szCs w:val="21"/>
          <w:lang w:val="en-US" w:eastAsia="zh-CN"/>
        </w:rPr>
        <w:t>A.1.10  接口调用常见问题</w:t>
      </w:r>
      <w:bookmarkEnd w:id="126"/>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eastAsia" w:hAnsi="黑体" w:cs="黑体"/>
          <w:szCs w:val="21"/>
          <w:lang w:val="en-US" w:eastAsia="zh-CN"/>
        </w:rPr>
      </w:pPr>
      <w:bookmarkStart w:id="127" w:name="_Toc16923"/>
      <w:r>
        <w:rPr>
          <w:rFonts w:hint="eastAsia" w:hAnsi="黑体" w:cs="黑体"/>
          <w:szCs w:val="21"/>
          <w:lang w:val="en-US" w:eastAsia="zh-CN"/>
        </w:rPr>
        <w:t>A.1.10.1  SSL握手失败</w:t>
      </w:r>
      <w:bookmarkEnd w:id="127"/>
    </w:p>
    <w:p>
      <w:pPr>
        <w:bidi w:val="0"/>
        <w:ind w:firstLine="420" w:firstLineChars="200"/>
        <w:rPr>
          <w:rFonts w:hint="eastAsia"/>
          <w:lang w:val="en-US" w:eastAsia="zh-CN"/>
        </w:rPr>
      </w:pPr>
      <w:r>
        <w:rPr>
          <w:rFonts w:hint="eastAsia"/>
          <w:lang w:val="en-US" w:eastAsia="zh-CN"/>
        </w:rPr>
        <w:t>问题：使用zjportGatewayClient.jar按照示例代码调用，出现以下错误：</w:t>
      </w:r>
    </w:p>
    <w:p>
      <w:pPr>
        <w:bidi w:val="0"/>
        <w:ind w:firstLine="420" w:firstLineChars="200"/>
        <w:rPr>
          <w:rFonts w:hint="eastAsia"/>
          <w:lang w:val="en-US" w:eastAsia="zh-CN"/>
        </w:rPr>
      </w:pPr>
      <w:r>
        <w:rPr>
          <w:rFonts w:hint="eastAsia"/>
          <w:lang w:val="en-US" w:eastAsia="zh-CN"/>
        </w:rPr>
        <w:t>javax.net.ssl.SSLHandshakeException: Received fatal alert: handshake_failure</w:t>
      </w:r>
    </w:p>
    <w:p>
      <w:pPr>
        <w:bidi w:val="0"/>
        <w:ind w:firstLine="420" w:firstLineChars="200"/>
        <w:rPr>
          <w:rFonts w:hint="eastAsia"/>
          <w:lang w:val="en-US" w:eastAsia="zh-CN"/>
        </w:rPr>
      </w:pPr>
      <w:r>
        <w:rPr>
          <w:rFonts w:hint="eastAsia"/>
          <w:lang w:val="en-US" w:eastAsia="zh-CN"/>
        </w:rPr>
        <w:t>解决方案：将jdk升级到1.7+</w:t>
      </w: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eastAsia" w:hAnsi="黑体" w:cs="黑体"/>
          <w:szCs w:val="21"/>
          <w:lang w:val="en-US" w:eastAsia="zh-CN"/>
        </w:rPr>
      </w:pPr>
      <w:bookmarkStart w:id="128" w:name="_Toc26995"/>
      <w:r>
        <w:rPr>
          <w:rFonts w:hint="eastAsia" w:hAnsi="黑体" w:cs="黑体"/>
          <w:szCs w:val="21"/>
          <w:lang w:val="en-US" w:eastAsia="zh-CN"/>
        </w:rPr>
        <w:t>A.1.10.2  签名错误</w:t>
      </w:r>
      <w:bookmarkEnd w:id="128"/>
    </w:p>
    <w:p>
      <w:pPr>
        <w:bidi w:val="0"/>
        <w:ind w:firstLine="420" w:firstLineChars="200"/>
        <w:rPr>
          <w:rFonts w:hint="eastAsia"/>
          <w:lang w:val="en-US" w:eastAsia="zh-CN"/>
        </w:rPr>
      </w:pPr>
      <w:r>
        <w:rPr>
          <w:rFonts w:hint="eastAsia"/>
          <w:lang w:val="en-US" w:eastAsia="zh-CN"/>
        </w:rPr>
        <w:t>问题：参照示例代码编写，提交后提示签名错误。</w:t>
      </w:r>
    </w:p>
    <w:p>
      <w:pPr>
        <w:bidi w:val="0"/>
        <w:ind w:firstLine="420" w:firstLineChars="200"/>
        <w:rPr>
          <w:rFonts w:hint="eastAsia"/>
          <w:lang w:val="en-US" w:eastAsia="zh-CN"/>
        </w:rPr>
      </w:pPr>
      <w:r>
        <w:rPr>
          <w:rFonts w:hint="eastAsia"/>
          <w:lang w:val="en-US" w:eastAsia="zh-CN"/>
        </w:rPr>
        <w:t>解决方案：</w:t>
      </w:r>
    </w:p>
    <w:p>
      <w:pPr>
        <w:bidi w:val="0"/>
        <w:ind w:firstLine="420" w:firstLineChars="200"/>
        <w:rPr>
          <w:rFonts w:hint="eastAsia"/>
          <w:lang w:val="en-US" w:eastAsia="zh-CN"/>
        </w:rPr>
      </w:pPr>
      <w:r>
        <w:rPr>
          <w:rFonts w:hint="eastAsia"/>
          <w:lang w:val="en-US" w:eastAsia="zh-CN"/>
        </w:rPr>
        <w:t>1.可能是密钥与应用不匹配，使用相应的密钥即可。</w:t>
      </w:r>
    </w:p>
    <w:p>
      <w:pPr>
        <w:bidi w:val="0"/>
        <w:ind w:firstLine="420" w:firstLineChars="200"/>
        <w:rPr>
          <w:rFonts w:hint="eastAsia"/>
          <w:lang w:val="en-US" w:eastAsia="zh-CN"/>
        </w:rPr>
      </w:pPr>
      <w:r>
        <w:rPr>
          <w:rFonts w:hint="eastAsia"/>
          <w:lang w:val="en-US" w:eastAsia="zh-CN"/>
        </w:rPr>
        <w:t>2.可能是报文内容从文件中读入，没有转成UTF-8编码。需要做一次编码转换。</w:t>
      </w:r>
    </w:p>
    <w:p>
      <w:pPr>
        <w:bidi w:val="0"/>
        <w:ind w:firstLine="420" w:firstLineChars="200"/>
        <w:rPr>
          <w:rFonts w:hint="eastAsia"/>
          <w:lang w:val="en-US" w:eastAsia="zh-CN"/>
        </w:rPr>
      </w:pPr>
      <w:r>
        <w:rPr>
          <w:rFonts w:hint="eastAsia"/>
          <w:lang w:val="en-US" w:eastAsia="zh-CN"/>
        </w:rPr>
        <w:t>3.可能是类包冲突，导致SHA1对中文的算法不匹配。可查看DegistUtils.shaHex（“中文”）是否和网上SHA1对“中文”的加签一致。本项目使用的是commons-codec-1.5.jar，也支持更高版本。</w:t>
      </w: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default" w:hAnsi="黑体" w:cs="黑体"/>
          <w:szCs w:val="21"/>
          <w:lang w:val="en-US" w:eastAsia="zh-CN"/>
        </w:rPr>
      </w:pPr>
      <w:bookmarkStart w:id="129" w:name="_Toc9283"/>
      <w:r>
        <w:rPr>
          <w:rFonts w:hint="eastAsia" w:hAnsi="黑体" w:cs="黑体"/>
          <w:szCs w:val="21"/>
          <w:lang w:val="en-US" w:eastAsia="zh-CN"/>
        </w:rPr>
        <w:t>A.2  跨境退货业务回执接口</w:t>
      </w:r>
      <w:bookmarkEnd w:id="129"/>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jc w:val="both"/>
        <w:textAlignment w:val="auto"/>
        <w:outlineLvl w:val="1"/>
        <w:rPr>
          <w:rFonts w:hint="default" w:ascii="黑体" w:hAnsi="黑体" w:eastAsia="黑体" w:cs="黑体"/>
          <w:sz w:val="21"/>
          <w:szCs w:val="21"/>
          <w:lang w:val="en-US" w:eastAsia="zh-CN" w:bidi="ar-SA"/>
        </w:rPr>
      </w:pPr>
      <w:bookmarkStart w:id="130" w:name="_Toc2038"/>
      <w:r>
        <w:rPr>
          <w:rFonts w:hint="eastAsia" w:ascii="黑体" w:hAnsi="黑体" w:eastAsia="黑体" w:cs="黑体"/>
          <w:sz w:val="21"/>
          <w:szCs w:val="21"/>
          <w:lang w:val="en-US" w:eastAsia="zh-CN" w:bidi="ar-SA"/>
        </w:rPr>
        <w:t>A.2.1  功能说明</w:t>
      </w:r>
      <w:bookmarkEnd w:id="130"/>
    </w:p>
    <w:p>
      <w:pPr>
        <w:bidi w:val="0"/>
        <w:ind w:firstLine="420" w:firstLineChars="200"/>
        <w:rPr>
          <w:rFonts w:hint="default"/>
          <w:lang w:val="en-US" w:eastAsia="zh-CN"/>
        </w:rPr>
      </w:pPr>
      <w:r>
        <w:rPr>
          <w:rFonts w:hint="default"/>
          <w:lang w:val="en-US" w:eastAsia="zh-CN"/>
        </w:rPr>
        <w:t>回执分同步、异步两种类型。</w:t>
      </w:r>
    </w:p>
    <w:p>
      <w:pPr>
        <w:bidi w:val="0"/>
        <w:ind w:firstLine="420" w:firstLineChars="200"/>
        <w:rPr>
          <w:rFonts w:hint="default"/>
          <w:lang w:val="en-US" w:eastAsia="zh-CN"/>
        </w:rPr>
      </w:pPr>
      <w:r>
        <w:rPr>
          <w:rFonts w:hint="default"/>
          <w:lang w:val="en-US" w:eastAsia="zh-CN"/>
        </w:rPr>
        <w:t>同步回执在企业调用1.1接口后实时返回；</w:t>
      </w:r>
    </w:p>
    <w:p>
      <w:pPr>
        <w:bidi w:val="0"/>
        <w:ind w:firstLine="420" w:firstLineChars="200"/>
        <w:rPr>
          <w:rFonts w:hint="default"/>
          <w:lang w:val="en-US" w:eastAsia="zh-CN"/>
        </w:rPr>
      </w:pPr>
      <w:r>
        <w:rPr>
          <w:rFonts w:hint="default"/>
          <w:lang w:val="en-US" w:eastAsia="zh-CN"/>
        </w:rPr>
        <w:t>异步回执由跨境电商退货监管服务平台主动调用企业接口发送。</w:t>
      </w:r>
    </w:p>
    <w:p>
      <w:pPr>
        <w:bidi w:val="0"/>
        <w:ind w:firstLine="420" w:firstLineChars="200"/>
        <w:rPr>
          <w:rFonts w:hint="default"/>
          <w:lang w:val="en-US" w:eastAsia="zh-CN"/>
        </w:rPr>
      </w:pPr>
      <w:r>
        <w:rPr>
          <w:rFonts w:hint="default"/>
          <w:lang w:val="en-US" w:eastAsia="zh-CN"/>
        </w:rPr>
        <w:t>对接企业需提供一个回执接收接口地址给到跨境电商退货监管服务平台，用于接收所有回执数据。数据接收回执接口采用http post 方式，跨境电商退货监管服务平台会对发送内容加密加签，企业接收时需要解密验签。具体参照以下规范开发。</w:t>
      </w:r>
    </w:p>
    <w:p>
      <w:pPr>
        <w:bidi w:val="0"/>
        <w:ind w:firstLine="420" w:firstLineChars="200"/>
        <w:rPr>
          <w:rFonts w:hint="default"/>
          <w:lang w:val="en-US" w:eastAsia="zh-CN"/>
        </w:rPr>
      </w:pPr>
      <w:r>
        <w:rPr>
          <w:rFonts w:hint="default"/>
          <w:lang w:val="en-US" w:eastAsia="zh-CN"/>
        </w:rPr>
        <w:t>企业提供URL地址：</w:t>
      </w:r>
    </w:p>
    <w:p>
      <w:pPr>
        <w:bidi w:val="0"/>
        <w:ind w:firstLine="420" w:firstLineChars="200"/>
        <w:rPr>
          <w:rFonts w:hint="default"/>
          <w:lang w:val="en-US" w:eastAsia="zh-CN"/>
        </w:rPr>
      </w:pPr>
      <w:r>
        <w:rPr>
          <w:rFonts w:hint="default"/>
          <w:lang w:val="en-US" w:eastAsia="zh-CN"/>
        </w:rPr>
        <w:t>例如：http://xxx.xxx.xxx.com/gateway/pac_message_receiver.do</w:t>
      </w:r>
    </w:p>
    <w:p>
      <w:pPr>
        <w:bidi w:val="0"/>
        <w:ind w:firstLine="420" w:firstLineChars="200"/>
        <w:rPr>
          <w:rFonts w:hint="default"/>
          <w:lang w:val="en-US" w:eastAsia="zh-CN"/>
        </w:rPr>
      </w:pPr>
      <w:r>
        <w:rPr>
          <w:rFonts w:hint="default"/>
          <w:lang w:val="en-US" w:eastAsia="zh-CN"/>
        </w:rPr>
        <w:t>Post参数：</w:t>
      </w:r>
    </w:p>
    <w:p>
      <w:pPr>
        <w:bidi w:val="0"/>
        <w:ind w:firstLine="420" w:firstLineChars="200"/>
        <w:rPr>
          <w:rFonts w:hint="default"/>
          <w:lang w:val="en-US" w:eastAsia="zh-CN"/>
        </w:rPr>
      </w:pPr>
      <w:r>
        <w:rPr>
          <w:rFonts w:hint="default"/>
          <w:lang w:val="en-US" w:eastAsia="zh-CN"/>
        </w:rPr>
        <w:t>content=XXXX</w:t>
      </w:r>
    </w:p>
    <w:p>
      <w:pPr>
        <w:bidi w:val="0"/>
        <w:ind w:firstLine="420" w:firstLineChars="200"/>
        <w:rPr>
          <w:rFonts w:hint="default"/>
          <w:lang w:val="en-US" w:eastAsia="zh-CN"/>
        </w:rPr>
      </w:pPr>
      <w:r>
        <w:rPr>
          <w:rFonts w:hint="default"/>
          <w:lang w:val="en-US" w:eastAsia="zh-CN"/>
        </w:rPr>
        <w:t>msg_type=XXX</w:t>
      </w:r>
    </w:p>
    <w:p>
      <w:pPr>
        <w:bidi w:val="0"/>
        <w:ind w:firstLine="420" w:firstLineChars="200"/>
        <w:rPr>
          <w:rFonts w:hint="default"/>
          <w:lang w:val="en-US" w:eastAsia="zh-CN"/>
        </w:rPr>
      </w:pPr>
      <w:r>
        <w:rPr>
          <w:rFonts w:hint="default"/>
          <w:lang w:val="en-US" w:eastAsia="zh-CN"/>
        </w:rPr>
        <w:t>data_digest=XXX</w:t>
      </w: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default" w:hAnsi="黑体" w:cs="黑体"/>
          <w:szCs w:val="21"/>
          <w:lang w:val="en-US" w:eastAsia="zh-CN"/>
        </w:rPr>
      </w:pPr>
      <w:bookmarkStart w:id="131" w:name="_Toc27751"/>
      <w:r>
        <w:rPr>
          <w:rFonts w:hint="eastAsia" w:hAnsi="黑体" w:cs="黑体"/>
          <w:szCs w:val="21"/>
          <w:lang w:val="en-US" w:eastAsia="zh-CN"/>
        </w:rPr>
        <w:t>A.2.2  业务参数说明</w:t>
      </w:r>
      <w:bookmarkEnd w:id="131"/>
    </w:p>
    <w:p>
      <w:pPr>
        <w:bidi w:val="0"/>
        <w:ind w:firstLine="420" w:firstLineChars="200"/>
        <w:rPr>
          <w:rFonts w:hint="eastAsia"/>
          <w:lang w:val="en-US" w:eastAsia="zh-CN"/>
        </w:rPr>
      </w:pPr>
      <w:r>
        <w:rPr>
          <w:rFonts w:hint="eastAsia"/>
          <w:lang w:val="en-US" w:eastAsia="zh-CN"/>
        </w:rPr>
        <w:t>业务参数说明见表A.3。</w:t>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表A.3  业务参数说明</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42"/>
        <w:gridCol w:w="68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8"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b w:val="0"/>
                <w:bCs w:val="0"/>
                <w:color w:val="000000"/>
                <w:kern w:val="0"/>
                <w:sz w:val="18"/>
                <w:szCs w:val="18"/>
              </w:rPr>
            </w:pPr>
            <w:r>
              <w:rPr>
                <w:rFonts w:hint="eastAsia" w:ascii="宋体" w:hAnsi="宋体"/>
                <w:b w:val="0"/>
                <w:bCs w:val="0"/>
                <w:color w:val="000000"/>
                <w:kern w:val="0"/>
                <w:sz w:val="18"/>
                <w:szCs w:val="18"/>
              </w:rPr>
              <w:t>参数名称</w:t>
            </w:r>
          </w:p>
        </w:tc>
        <w:tc>
          <w:tcPr>
            <w:tcW w:w="6952"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b w:val="0"/>
                <w:bCs w:val="0"/>
                <w:color w:val="000000"/>
                <w:kern w:val="0"/>
                <w:sz w:val="18"/>
                <w:szCs w:val="18"/>
              </w:rPr>
            </w:pPr>
            <w:r>
              <w:rPr>
                <w:rFonts w:hint="eastAsia" w:ascii="宋体" w:hAnsi="宋体"/>
                <w:b w:val="0"/>
                <w:bCs w:val="0"/>
                <w:color w:val="000000"/>
                <w:kern w:val="0"/>
                <w:sz w:val="18"/>
                <w:szCs w:val="18"/>
              </w:rPr>
              <w:t>用途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8" w:type="dxa"/>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b w:val="0"/>
                <w:bCs w:val="0"/>
                <w:color w:val="000000"/>
                <w:kern w:val="0"/>
                <w:sz w:val="18"/>
                <w:szCs w:val="18"/>
              </w:rPr>
            </w:pPr>
            <w:r>
              <w:rPr>
                <w:rFonts w:ascii="宋体" w:hAnsi="宋体"/>
                <w:b w:val="0"/>
                <w:bCs w:val="0"/>
                <w:color w:val="000000"/>
                <w:kern w:val="0"/>
                <w:sz w:val="18"/>
                <w:szCs w:val="18"/>
              </w:rPr>
              <w:t>content</w:t>
            </w:r>
          </w:p>
        </w:tc>
        <w:tc>
          <w:tcPr>
            <w:tcW w:w="6952" w:type="dxa"/>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b w:val="0"/>
                <w:bCs w:val="0"/>
                <w:color w:val="000000"/>
                <w:kern w:val="0"/>
                <w:sz w:val="18"/>
                <w:szCs w:val="18"/>
              </w:rPr>
            </w:pPr>
            <w:r>
              <w:rPr>
                <w:rFonts w:hint="eastAsia" w:ascii="宋体" w:hAnsi="宋体"/>
                <w:b w:val="0"/>
                <w:bCs w:val="0"/>
                <w:color w:val="000000"/>
                <w:kern w:val="0"/>
                <w:sz w:val="18"/>
                <w:szCs w:val="18"/>
              </w:rPr>
              <w:t>请求报文内容，电子口岸提供AES解密密钥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b w:val="0"/>
                <w:bCs w:val="0"/>
                <w:color w:val="000000"/>
                <w:kern w:val="0"/>
                <w:sz w:val="18"/>
                <w:szCs w:val="18"/>
              </w:rPr>
            </w:pPr>
            <w:r>
              <w:rPr>
                <w:rFonts w:ascii="宋体" w:hAnsi="宋体"/>
                <w:b w:val="0"/>
                <w:bCs w:val="0"/>
                <w:color w:val="000000"/>
                <w:kern w:val="0"/>
                <w:sz w:val="18"/>
                <w:szCs w:val="18"/>
              </w:rPr>
              <w:t>msg_type</w:t>
            </w:r>
          </w:p>
        </w:tc>
        <w:tc>
          <w:tcPr>
            <w:tcW w:w="69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b w:val="0"/>
                <w:bCs w:val="0"/>
                <w:color w:val="000000"/>
                <w:kern w:val="0"/>
                <w:sz w:val="18"/>
                <w:szCs w:val="18"/>
              </w:rPr>
            </w:pPr>
            <w:r>
              <w:rPr>
                <w:rFonts w:ascii="宋体" w:hAnsi="宋体"/>
                <w:b w:val="0"/>
                <w:bCs w:val="0"/>
                <w:color w:val="000000"/>
                <w:kern w:val="0"/>
                <w:sz w:val="18"/>
                <w:szCs w:val="18"/>
              </w:rPr>
              <w:t>消息类型</w:t>
            </w:r>
            <w:r>
              <w:rPr>
                <w:rFonts w:hint="eastAsia" w:ascii="宋体" w:hAnsi="宋体"/>
                <w:b w:val="0"/>
                <w:bCs w:val="0"/>
                <w:color w:val="000000"/>
                <w:kern w:val="0"/>
                <w:sz w:val="18"/>
                <w:szCs w:val="18"/>
              </w:rPr>
              <w:t>，不同消息类别对应报文格式不同。</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b w:val="0"/>
                <w:bCs w:val="0"/>
                <w:color w:val="000000"/>
                <w:kern w:val="0"/>
                <w:sz w:val="18"/>
                <w:szCs w:val="18"/>
              </w:rPr>
            </w:pPr>
            <w:r>
              <w:rPr>
                <w:rFonts w:hint="eastAsia" w:ascii="宋体" w:hAnsi="宋体"/>
                <w:b w:val="0"/>
                <w:bCs w:val="0"/>
                <w:color w:val="000000"/>
                <w:kern w:val="0"/>
                <w:sz w:val="18"/>
                <w:szCs w:val="18"/>
              </w:rPr>
              <w:t>CUSTOMS_DEN_CALLBACK：退货申报回执</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b w:val="0"/>
                <w:bCs w:val="0"/>
                <w:color w:val="000000"/>
                <w:kern w:val="0"/>
                <w:sz w:val="18"/>
                <w:szCs w:val="18"/>
                <w:lang w:val="en-US" w:eastAsia="zh-CN"/>
              </w:rPr>
            </w:pPr>
            <w:r>
              <w:rPr>
                <w:rFonts w:hint="eastAsia" w:ascii="宋体" w:hAnsi="宋体"/>
                <w:b w:val="0"/>
                <w:bCs w:val="0"/>
                <w:color w:val="000000"/>
                <w:kern w:val="0"/>
                <w:sz w:val="18"/>
                <w:szCs w:val="18"/>
              </w:rPr>
              <w:t>各单证回执类型见</w:t>
            </w:r>
            <w:r>
              <w:rPr>
                <w:rFonts w:hint="eastAsia"/>
                <w:b w:val="0"/>
                <w:bCs w:val="0"/>
                <w:color w:val="000000"/>
                <w:kern w:val="0"/>
                <w:sz w:val="18"/>
                <w:szCs w:val="18"/>
                <w:lang w:val="en-US" w:eastAsia="zh-CN"/>
              </w:rPr>
              <w:t>附录B</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b w:val="0"/>
                <w:bCs w:val="0"/>
                <w:color w:val="000000"/>
                <w:kern w:val="0"/>
                <w:sz w:val="18"/>
                <w:szCs w:val="18"/>
              </w:rPr>
            </w:pPr>
            <w:r>
              <w:rPr>
                <w:rFonts w:hint="eastAsia" w:ascii="宋体" w:hAnsi="宋体"/>
                <w:b w:val="0"/>
                <w:bCs w:val="0"/>
                <w:color w:val="000000"/>
                <w:kern w:val="0"/>
                <w:sz w:val="18"/>
                <w:szCs w:val="18"/>
              </w:rPr>
              <w:t>data_digest</w:t>
            </w:r>
          </w:p>
        </w:tc>
        <w:tc>
          <w:tcPr>
            <w:tcW w:w="69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sz w:val="18"/>
                <w:szCs w:val="18"/>
              </w:rPr>
            </w:pPr>
            <w:r>
              <w:rPr>
                <w:rFonts w:hint="eastAsia" w:ascii="宋体" w:hAnsi="宋体"/>
                <w:b w:val="0"/>
                <w:bCs w:val="0"/>
                <w:color w:val="000000"/>
                <w:kern w:val="0"/>
                <w:sz w:val="18"/>
                <w:szCs w:val="18"/>
              </w:rPr>
              <w:t>请求签名，参考测试页面说明，电子口岸提供RSA验签公钥</w:t>
            </w:r>
          </w:p>
        </w:tc>
      </w:tr>
    </w:tbl>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default" w:hAnsi="黑体" w:cs="黑体"/>
          <w:szCs w:val="21"/>
          <w:lang w:val="en-US" w:eastAsia="zh-CN"/>
        </w:rPr>
      </w:pPr>
      <w:bookmarkStart w:id="132" w:name="_Toc27817"/>
      <w:r>
        <w:rPr>
          <w:rFonts w:hint="eastAsia" w:hAnsi="黑体" w:cs="黑体"/>
          <w:szCs w:val="21"/>
          <w:lang w:val="en-US" w:eastAsia="zh-CN"/>
        </w:rPr>
        <w:t>A.2.3  电子口岸同步、异步回执报文结构格式</w:t>
      </w:r>
      <w:bookmarkEnd w:id="132"/>
    </w:p>
    <w:p>
      <w:pPr>
        <w:bidi w:val="0"/>
        <w:ind w:firstLine="420" w:firstLineChars="200"/>
      </w:pPr>
      <w:r>
        <w:rPr>
          <w:rFonts w:hint="eastAsia"/>
        </w:rPr>
        <w:t>见</w:t>
      </w:r>
      <w:r>
        <w:rPr>
          <w:rFonts w:hint="eastAsia"/>
          <w:lang w:val="en-US" w:eastAsia="zh-CN"/>
        </w:rPr>
        <w:t>附录B</w:t>
      </w:r>
      <w:r>
        <w:rPr>
          <w:rFonts w:hint="eastAsia"/>
        </w:rPr>
        <w:t>各单证回执报文定义。</w:t>
      </w: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default" w:hAnsi="黑体" w:cs="黑体"/>
          <w:szCs w:val="21"/>
          <w:lang w:val="en-US" w:eastAsia="zh-CN"/>
        </w:rPr>
      </w:pPr>
      <w:bookmarkStart w:id="133" w:name="_Toc3735"/>
      <w:r>
        <w:rPr>
          <w:rFonts w:hint="eastAsia" w:hAnsi="黑体" w:cs="黑体"/>
          <w:szCs w:val="21"/>
          <w:lang w:val="en-US" w:eastAsia="zh-CN"/>
        </w:rPr>
        <w:t>A.2.4  报文加密与解密</w:t>
      </w:r>
      <w:bookmarkEnd w:id="133"/>
    </w:p>
    <w:p>
      <w:pPr>
        <w:bidi w:val="0"/>
        <w:ind w:firstLine="420" w:firstLineChars="200"/>
        <w:rPr>
          <w:rFonts w:hint="default"/>
          <w:lang w:val="en-US" w:eastAsia="zh-CN"/>
        </w:rPr>
      </w:pPr>
      <w:r>
        <w:rPr>
          <w:rFonts w:hint="default"/>
          <w:lang w:val="en-US" w:eastAsia="zh-CN"/>
        </w:rPr>
        <w:t>鉴于与海关数据交换较强的安全级别要求，本方案采用国际通用的对称加密算法 AES,非对称加签算法RSA，实现防篡改、防抵赖、数据机密性、身份认证四个层面的安全要求。</w:t>
      </w:r>
    </w:p>
    <w:p>
      <w:pPr>
        <w:bidi w:val="0"/>
        <w:rPr>
          <w:rFonts w:hint="default"/>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default" w:hAnsi="黑体" w:cs="黑体"/>
          <w:szCs w:val="21"/>
          <w:lang w:val="en-US" w:eastAsia="zh-CN"/>
        </w:rPr>
      </w:pPr>
      <w:bookmarkStart w:id="134" w:name="_Toc32354"/>
      <w:r>
        <w:rPr>
          <w:rFonts w:hint="eastAsia" w:hAnsi="黑体" w:cs="黑体"/>
          <w:szCs w:val="21"/>
          <w:lang w:val="en-US" w:eastAsia="zh-CN"/>
        </w:rPr>
        <w:t xml:space="preserve">A.2.4.1  </w:t>
      </w:r>
      <w:r>
        <w:rPr>
          <w:rFonts w:hint="default" w:hAnsi="黑体" w:cs="黑体"/>
          <w:szCs w:val="21"/>
          <w:lang w:val="en-US" w:eastAsia="zh-CN"/>
        </w:rPr>
        <w:t>开发参考页面说明：</w:t>
      </w:r>
      <w:bookmarkEnd w:id="134"/>
    </w:p>
    <w:p>
      <w:pPr>
        <w:bidi w:val="0"/>
        <w:rPr>
          <w:rFonts w:hint="default"/>
          <w:lang w:val="en-US" w:eastAsia="zh-CN"/>
        </w:rPr>
      </w:pPr>
      <w:r>
        <w:rPr>
          <w:rFonts w:hint="default"/>
          <w:lang w:val="en-US" w:eastAsia="zh-CN"/>
        </w:rPr>
        <w:t>http://122.224.230.4:47008/eplinkJkfClient/testSend.jsp</w:t>
      </w:r>
    </w:p>
    <w:p>
      <w:pPr>
        <w:bidi w:val="0"/>
        <w:rPr>
          <w:rFonts w:hint="default"/>
          <w:lang w:val="en-US" w:eastAsia="zh-CN"/>
        </w:rPr>
      </w:pPr>
      <w:r>
        <w:rPr>
          <w:rFonts w:hint="default"/>
          <w:lang w:val="en-US" w:eastAsia="zh-CN"/>
        </w:rPr>
        <w:t>接口返回数据格式要求如下：</w:t>
      </w: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default"/>
          <w:lang w:val="en-US" w:eastAsia="zh-CN"/>
        </w:rPr>
      </w:pPr>
      <w:bookmarkStart w:id="135" w:name="_Toc13618"/>
      <w:r>
        <w:rPr>
          <w:rFonts w:hint="eastAsia" w:hAnsi="黑体" w:cs="黑体"/>
          <w:szCs w:val="21"/>
          <w:lang w:val="en-US" w:eastAsia="zh-CN"/>
        </w:rPr>
        <w:t xml:space="preserve">A.2.4.1.1  </w:t>
      </w:r>
      <w:r>
        <w:rPr>
          <w:rFonts w:hint="default" w:hAnsi="黑体" w:cs="黑体"/>
          <w:szCs w:val="21"/>
          <w:lang w:val="en-US" w:eastAsia="zh-CN"/>
        </w:rPr>
        <w:t>基本参数</w:t>
      </w:r>
      <w:bookmarkEnd w:id="135"/>
    </w:p>
    <w:tbl>
      <w:tblPr>
        <w:tblStyle w:val="17"/>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1950"/>
        <w:gridCol w:w="2160"/>
        <w:gridCol w:w="29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85" w:type="dxa"/>
            <w:tcBorders>
              <w:bottom w:val="single" w:color="auto" w:sz="12" w:space="0"/>
            </w:tcBorders>
            <w:vAlign w:val="center"/>
          </w:tcPr>
          <w:p>
            <w:pPr>
              <w:jc w:val="center"/>
              <w:rPr>
                <w:kern w:val="0"/>
                <w:sz w:val="18"/>
                <w:szCs w:val="18"/>
              </w:rPr>
            </w:pPr>
            <w:r>
              <w:rPr>
                <w:rFonts w:hint="eastAsia"/>
                <w:kern w:val="0"/>
                <w:sz w:val="18"/>
                <w:szCs w:val="18"/>
              </w:rPr>
              <w:t>名称</w:t>
            </w:r>
          </w:p>
        </w:tc>
        <w:tc>
          <w:tcPr>
            <w:tcW w:w="1950" w:type="dxa"/>
            <w:tcBorders>
              <w:bottom w:val="single" w:color="auto" w:sz="12" w:space="0"/>
            </w:tcBorders>
            <w:vAlign w:val="center"/>
          </w:tcPr>
          <w:p>
            <w:pPr>
              <w:jc w:val="center"/>
              <w:rPr>
                <w:kern w:val="0"/>
                <w:sz w:val="18"/>
                <w:szCs w:val="18"/>
              </w:rPr>
            </w:pPr>
            <w:r>
              <w:rPr>
                <w:rFonts w:hint="eastAsia"/>
                <w:kern w:val="0"/>
                <w:sz w:val="18"/>
                <w:szCs w:val="18"/>
              </w:rPr>
              <w:t>类型</w:t>
            </w:r>
          </w:p>
        </w:tc>
        <w:tc>
          <w:tcPr>
            <w:tcW w:w="2160" w:type="dxa"/>
            <w:tcBorders>
              <w:bottom w:val="single" w:color="auto" w:sz="12" w:space="0"/>
            </w:tcBorders>
            <w:vAlign w:val="center"/>
          </w:tcPr>
          <w:p>
            <w:pPr>
              <w:jc w:val="center"/>
              <w:rPr>
                <w:kern w:val="0"/>
                <w:sz w:val="18"/>
                <w:szCs w:val="18"/>
              </w:rPr>
            </w:pPr>
            <w:r>
              <w:rPr>
                <w:rFonts w:hint="eastAsia"/>
                <w:kern w:val="0"/>
                <w:sz w:val="18"/>
                <w:szCs w:val="18"/>
              </w:rPr>
              <w:t>是否可为空</w:t>
            </w:r>
          </w:p>
        </w:tc>
        <w:tc>
          <w:tcPr>
            <w:tcW w:w="2927" w:type="dxa"/>
            <w:tcBorders>
              <w:bottom w:val="single" w:color="auto" w:sz="12" w:space="0"/>
            </w:tcBorders>
            <w:vAlign w:val="center"/>
          </w:tcPr>
          <w:p>
            <w:pPr>
              <w:jc w:val="center"/>
              <w:rPr>
                <w:kern w:val="0"/>
                <w:sz w:val="18"/>
                <w:szCs w:val="18"/>
              </w:rPr>
            </w:pPr>
            <w:r>
              <w:rPr>
                <w:rFonts w:hint="eastAsia"/>
                <w:kern w:val="0"/>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85" w:type="dxa"/>
            <w:tcBorders>
              <w:top w:val="single" w:color="auto" w:sz="12" w:space="0"/>
              <w:tl2br w:val="nil"/>
              <w:tr2bl w:val="nil"/>
            </w:tcBorders>
            <w:vAlign w:val="center"/>
          </w:tcPr>
          <w:p>
            <w:pPr>
              <w:jc w:val="center"/>
              <w:rPr>
                <w:kern w:val="0"/>
                <w:sz w:val="18"/>
                <w:szCs w:val="18"/>
              </w:rPr>
            </w:pPr>
            <w:r>
              <w:rPr>
                <w:rFonts w:hint="eastAsia"/>
                <w:kern w:val="0"/>
                <w:sz w:val="18"/>
                <w:szCs w:val="18"/>
              </w:rPr>
              <w:t>success</w:t>
            </w:r>
          </w:p>
        </w:tc>
        <w:tc>
          <w:tcPr>
            <w:tcW w:w="1950" w:type="dxa"/>
            <w:tcBorders>
              <w:top w:val="single" w:color="auto" w:sz="12" w:space="0"/>
              <w:tl2br w:val="nil"/>
              <w:tr2bl w:val="nil"/>
            </w:tcBorders>
            <w:vAlign w:val="center"/>
          </w:tcPr>
          <w:p>
            <w:pPr>
              <w:jc w:val="center"/>
              <w:rPr>
                <w:kern w:val="0"/>
                <w:sz w:val="18"/>
                <w:szCs w:val="18"/>
              </w:rPr>
            </w:pPr>
            <w:r>
              <w:rPr>
                <w:sz w:val="18"/>
                <w:szCs w:val="18"/>
              </w:rPr>
              <w:t>VARCHAR2</w:t>
            </w:r>
          </w:p>
        </w:tc>
        <w:tc>
          <w:tcPr>
            <w:tcW w:w="2160" w:type="dxa"/>
            <w:tcBorders>
              <w:top w:val="single" w:color="auto" w:sz="12" w:space="0"/>
              <w:tl2br w:val="nil"/>
              <w:tr2bl w:val="nil"/>
            </w:tcBorders>
            <w:vAlign w:val="center"/>
          </w:tcPr>
          <w:p>
            <w:pPr>
              <w:jc w:val="center"/>
              <w:rPr>
                <w:kern w:val="0"/>
                <w:sz w:val="18"/>
                <w:szCs w:val="18"/>
              </w:rPr>
            </w:pPr>
            <w:r>
              <w:rPr>
                <w:rFonts w:hint="eastAsia"/>
                <w:kern w:val="0"/>
                <w:sz w:val="18"/>
                <w:szCs w:val="18"/>
              </w:rPr>
              <w:t>N</w:t>
            </w:r>
          </w:p>
        </w:tc>
        <w:tc>
          <w:tcPr>
            <w:tcW w:w="2927" w:type="dxa"/>
            <w:tcBorders>
              <w:top w:val="single" w:color="auto" w:sz="12" w:space="0"/>
              <w:tl2br w:val="nil"/>
              <w:tr2bl w:val="nil"/>
            </w:tcBorders>
            <w:vAlign w:val="center"/>
          </w:tcPr>
          <w:p>
            <w:pPr>
              <w:jc w:val="center"/>
              <w:rPr>
                <w:kern w:val="0"/>
                <w:sz w:val="18"/>
                <w:szCs w:val="18"/>
              </w:rPr>
            </w:pPr>
            <w:r>
              <w:rPr>
                <w:rFonts w:hint="eastAsia"/>
                <w:kern w:val="0"/>
                <w:sz w:val="18"/>
                <w:szCs w:val="18"/>
              </w:rPr>
              <w:t>是否成功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85" w:type="dxa"/>
            <w:tcBorders>
              <w:tl2br w:val="nil"/>
              <w:tr2bl w:val="nil"/>
            </w:tcBorders>
            <w:vAlign w:val="center"/>
          </w:tcPr>
          <w:p>
            <w:pPr>
              <w:jc w:val="center"/>
              <w:rPr>
                <w:kern w:val="0"/>
                <w:sz w:val="18"/>
                <w:szCs w:val="18"/>
              </w:rPr>
            </w:pPr>
            <w:r>
              <w:rPr>
                <w:rFonts w:hint="eastAsia"/>
                <w:kern w:val="0"/>
                <w:sz w:val="18"/>
                <w:szCs w:val="18"/>
              </w:rPr>
              <w:t>errorCodes</w:t>
            </w:r>
          </w:p>
        </w:tc>
        <w:tc>
          <w:tcPr>
            <w:tcW w:w="1950" w:type="dxa"/>
            <w:tcBorders>
              <w:tl2br w:val="nil"/>
              <w:tr2bl w:val="nil"/>
            </w:tcBorders>
            <w:vAlign w:val="center"/>
          </w:tcPr>
          <w:p>
            <w:pPr>
              <w:jc w:val="center"/>
              <w:rPr>
                <w:kern w:val="0"/>
                <w:sz w:val="18"/>
                <w:szCs w:val="18"/>
              </w:rPr>
            </w:pPr>
            <w:r>
              <w:rPr>
                <w:sz w:val="18"/>
                <w:szCs w:val="18"/>
              </w:rPr>
              <w:t>VARCHAR2</w:t>
            </w:r>
            <w:r>
              <w:rPr>
                <w:rFonts w:hint="eastAsia"/>
                <w:kern w:val="0"/>
                <w:sz w:val="18"/>
                <w:szCs w:val="18"/>
              </w:rPr>
              <w:t xml:space="preserve"> (10)</w:t>
            </w:r>
          </w:p>
        </w:tc>
        <w:tc>
          <w:tcPr>
            <w:tcW w:w="2160" w:type="dxa"/>
            <w:tcBorders>
              <w:tl2br w:val="nil"/>
              <w:tr2bl w:val="nil"/>
            </w:tcBorders>
            <w:vAlign w:val="center"/>
          </w:tcPr>
          <w:p>
            <w:pPr>
              <w:jc w:val="center"/>
              <w:rPr>
                <w:kern w:val="0"/>
                <w:sz w:val="18"/>
                <w:szCs w:val="18"/>
              </w:rPr>
            </w:pPr>
            <w:r>
              <w:rPr>
                <w:rFonts w:hint="eastAsia"/>
                <w:kern w:val="0"/>
                <w:sz w:val="18"/>
                <w:szCs w:val="18"/>
              </w:rPr>
              <w:t>Y</w:t>
            </w:r>
          </w:p>
        </w:tc>
        <w:tc>
          <w:tcPr>
            <w:tcW w:w="2927" w:type="dxa"/>
            <w:tcBorders>
              <w:tl2br w:val="nil"/>
              <w:tr2bl w:val="nil"/>
            </w:tcBorders>
            <w:vAlign w:val="center"/>
          </w:tcPr>
          <w:p>
            <w:pPr>
              <w:jc w:val="center"/>
              <w:rPr>
                <w:kern w:val="0"/>
                <w:sz w:val="18"/>
                <w:szCs w:val="18"/>
              </w:rPr>
            </w:pPr>
            <w:r>
              <w:rPr>
                <w:rFonts w:hint="eastAsia"/>
                <w:kern w:val="0"/>
                <w:sz w:val="18"/>
                <w:szCs w:val="18"/>
              </w:rPr>
              <w:t>错误编码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85" w:type="dxa"/>
            <w:tcBorders>
              <w:tl2br w:val="nil"/>
              <w:tr2bl w:val="nil"/>
            </w:tcBorders>
            <w:vAlign w:val="center"/>
          </w:tcPr>
          <w:p>
            <w:pPr>
              <w:jc w:val="center"/>
              <w:rPr>
                <w:kern w:val="0"/>
                <w:sz w:val="18"/>
                <w:szCs w:val="18"/>
              </w:rPr>
            </w:pPr>
            <w:r>
              <w:rPr>
                <w:rFonts w:hint="eastAsia"/>
                <w:kern w:val="0"/>
                <w:sz w:val="18"/>
                <w:szCs w:val="18"/>
              </w:rPr>
              <w:t>errorMsg</w:t>
            </w:r>
          </w:p>
        </w:tc>
        <w:tc>
          <w:tcPr>
            <w:tcW w:w="1950" w:type="dxa"/>
            <w:tcBorders>
              <w:tl2br w:val="nil"/>
              <w:tr2bl w:val="nil"/>
            </w:tcBorders>
            <w:vAlign w:val="center"/>
          </w:tcPr>
          <w:p>
            <w:pPr>
              <w:jc w:val="center"/>
              <w:rPr>
                <w:kern w:val="0"/>
                <w:sz w:val="18"/>
                <w:szCs w:val="18"/>
              </w:rPr>
            </w:pPr>
            <w:r>
              <w:rPr>
                <w:sz w:val="18"/>
                <w:szCs w:val="18"/>
              </w:rPr>
              <w:t>VARCHAR2</w:t>
            </w:r>
            <w:r>
              <w:rPr>
                <w:rFonts w:hint="eastAsia"/>
                <w:kern w:val="0"/>
                <w:sz w:val="18"/>
                <w:szCs w:val="18"/>
              </w:rPr>
              <w:t xml:space="preserve"> (1000)</w:t>
            </w:r>
          </w:p>
        </w:tc>
        <w:tc>
          <w:tcPr>
            <w:tcW w:w="2160" w:type="dxa"/>
            <w:tcBorders>
              <w:tl2br w:val="nil"/>
              <w:tr2bl w:val="nil"/>
            </w:tcBorders>
            <w:vAlign w:val="center"/>
          </w:tcPr>
          <w:p>
            <w:pPr>
              <w:jc w:val="center"/>
              <w:rPr>
                <w:kern w:val="0"/>
                <w:sz w:val="18"/>
                <w:szCs w:val="18"/>
              </w:rPr>
            </w:pPr>
            <w:r>
              <w:rPr>
                <w:rFonts w:hint="eastAsia"/>
                <w:kern w:val="0"/>
                <w:sz w:val="18"/>
                <w:szCs w:val="18"/>
              </w:rPr>
              <w:t>Y</w:t>
            </w:r>
          </w:p>
        </w:tc>
        <w:tc>
          <w:tcPr>
            <w:tcW w:w="2927" w:type="dxa"/>
            <w:tcBorders>
              <w:tl2br w:val="nil"/>
              <w:tr2bl w:val="nil"/>
            </w:tcBorders>
            <w:vAlign w:val="center"/>
          </w:tcPr>
          <w:p>
            <w:pPr>
              <w:jc w:val="center"/>
              <w:rPr>
                <w:kern w:val="0"/>
                <w:sz w:val="18"/>
                <w:szCs w:val="18"/>
              </w:rPr>
            </w:pPr>
            <w:r>
              <w:rPr>
                <w:rFonts w:hint="eastAsia"/>
                <w:kern w:val="0"/>
                <w:sz w:val="18"/>
                <w:szCs w:val="18"/>
              </w:rPr>
              <w:t>错误信息</w:t>
            </w:r>
          </w:p>
        </w:tc>
      </w:tr>
    </w:tbl>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default" w:hAnsi="黑体" w:cs="黑体"/>
          <w:szCs w:val="21"/>
          <w:lang w:val="en-US" w:eastAsia="zh-CN"/>
        </w:rPr>
      </w:pPr>
      <w:bookmarkStart w:id="136" w:name="_Toc10590"/>
      <w:r>
        <w:rPr>
          <w:rFonts w:hint="eastAsia" w:hAnsi="黑体" w:cs="黑体"/>
          <w:szCs w:val="21"/>
          <w:lang w:val="en-US" w:eastAsia="zh-CN"/>
        </w:rPr>
        <w:t xml:space="preserve">A.2.4.1.2  </w:t>
      </w:r>
      <w:r>
        <w:rPr>
          <w:rFonts w:hint="default" w:hAnsi="黑体" w:cs="黑体"/>
          <w:szCs w:val="21"/>
          <w:lang w:val="en-US" w:eastAsia="zh-CN"/>
        </w:rPr>
        <w:t>接口处理正常返回样例</w:t>
      </w:r>
      <w:r>
        <w:rPr>
          <w:rFonts w:hint="eastAsia" w:hAnsi="黑体" w:cs="黑体"/>
          <w:szCs w:val="21"/>
          <w:lang w:val="en-US" w:eastAsia="zh-CN"/>
        </w:rPr>
        <w:t>：</w:t>
      </w:r>
      <w:bookmarkEnd w:id="136"/>
    </w:p>
    <w:p>
      <w:pPr>
        <w:bidi w:val="0"/>
        <w:rPr>
          <w:rFonts w:hint="default"/>
          <w:lang w:val="en-US" w:eastAsia="zh-CN"/>
        </w:rPr>
      </w:pPr>
      <w:r>
        <w:rPr>
          <w:rFonts w:hint="default"/>
          <w:lang w:val="en-US" w:eastAsia="zh-CN"/>
        </w:rPr>
        <w:t>&lt;response&gt;</w:t>
      </w:r>
    </w:p>
    <w:p>
      <w:pPr>
        <w:bidi w:val="0"/>
        <w:rPr>
          <w:rFonts w:hint="default"/>
          <w:lang w:val="en-US" w:eastAsia="zh-CN"/>
        </w:rPr>
      </w:pPr>
      <w:r>
        <w:rPr>
          <w:rFonts w:hint="default"/>
          <w:lang w:val="en-US" w:eastAsia="zh-CN"/>
        </w:rPr>
        <w:t>&lt;success&gt;true&lt;/success&gt;</w:t>
      </w:r>
    </w:p>
    <w:p>
      <w:pPr>
        <w:bidi w:val="0"/>
        <w:rPr>
          <w:rFonts w:hint="default"/>
          <w:lang w:val="en-US" w:eastAsia="zh-CN"/>
        </w:rPr>
      </w:pPr>
      <w:r>
        <w:rPr>
          <w:rFonts w:hint="default"/>
          <w:lang w:val="en-US" w:eastAsia="zh-CN"/>
        </w:rPr>
        <w:t>&lt;/response&gt;</w:t>
      </w: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default" w:hAnsi="黑体" w:cs="黑体"/>
          <w:szCs w:val="21"/>
          <w:lang w:val="en-US" w:eastAsia="zh-CN"/>
        </w:rPr>
      </w:pPr>
      <w:bookmarkStart w:id="137" w:name="_Toc16756"/>
      <w:r>
        <w:rPr>
          <w:rFonts w:hint="eastAsia" w:hAnsi="黑体" w:cs="黑体"/>
          <w:szCs w:val="21"/>
          <w:lang w:val="en-US" w:eastAsia="zh-CN"/>
        </w:rPr>
        <w:t>A.2.4.1.3</w:t>
      </w:r>
      <w:r>
        <w:rPr>
          <w:rFonts w:hint="default" w:hAnsi="黑体" w:cs="黑体"/>
          <w:szCs w:val="21"/>
          <w:lang w:val="en-US" w:eastAsia="zh-CN"/>
        </w:rPr>
        <w:t>接口处理异常返回样例</w:t>
      </w:r>
      <w:r>
        <w:rPr>
          <w:rFonts w:hint="eastAsia" w:hAnsi="黑体" w:cs="黑体"/>
          <w:szCs w:val="21"/>
          <w:lang w:val="en-US" w:eastAsia="zh-CN"/>
        </w:rPr>
        <w:t>：</w:t>
      </w:r>
      <w:bookmarkEnd w:id="137"/>
    </w:p>
    <w:p>
      <w:pPr>
        <w:bidi w:val="0"/>
        <w:rPr>
          <w:rFonts w:hint="default"/>
          <w:lang w:val="en-US" w:eastAsia="zh-CN"/>
        </w:rPr>
      </w:pPr>
      <w:r>
        <w:rPr>
          <w:rFonts w:hint="default"/>
          <w:lang w:val="en-US" w:eastAsia="zh-CN"/>
        </w:rPr>
        <w:t>&lt;response&gt;</w:t>
      </w:r>
    </w:p>
    <w:p>
      <w:pPr>
        <w:bidi w:val="0"/>
        <w:rPr>
          <w:rFonts w:hint="default"/>
          <w:lang w:val="en-US" w:eastAsia="zh-CN"/>
        </w:rPr>
      </w:pPr>
      <w:r>
        <w:rPr>
          <w:rFonts w:hint="default"/>
          <w:lang w:val="en-US" w:eastAsia="zh-CN"/>
        </w:rPr>
        <w:t>&lt;success&gt;false&lt;/success&gt;</w:t>
      </w:r>
    </w:p>
    <w:p>
      <w:pPr>
        <w:bidi w:val="0"/>
        <w:rPr>
          <w:rFonts w:hint="default"/>
          <w:lang w:val="en-US" w:eastAsia="zh-CN"/>
        </w:rPr>
      </w:pPr>
      <w:r>
        <w:rPr>
          <w:rFonts w:hint="default"/>
          <w:lang w:val="en-US" w:eastAsia="zh-CN"/>
        </w:rPr>
        <w:t>&lt;errorCode&gt;123&lt;/errorCode&gt;</w:t>
      </w:r>
    </w:p>
    <w:p>
      <w:pPr>
        <w:bidi w:val="0"/>
        <w:rPr>
          <w:rFonts w:hint="default"/>
          <w:lang w:val="en-US" w:eastAsia="zh-CN"/>
        </w:rPr>
      </w:pPr>
      <w:r>
        <w:rPr>
          <w:rFonts w:hint="default"/>
          <w:lang w:val="en-US" w:eastAsia="zh-CN"/>
        </w:rPr>
        <w:t>&lt;errorMsg&gt;异常&lt;/errorMsg&gt;</w:t>
      </w:r>
    </w:p>
    <w:p>
      <w:pPr>
        <w:bidi w:val="0"/>
        <w:rPr>
          <w:rFonts w:hint="default"/>
          <w:lang w:val="en-US" w:eastAsia="zh-CN"/>
        </w:rPr>
      </w:pPr>
      <w:r>
        <w:rPr>
          <w:rFonts w:hint="default"/>
          <w:lang w:val="en-US" w:eastAsia="zh-CN"/>
        </w:rPr>
        <w:t>&lt;/response&gt;</w:t>
      </w: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default"/>
          <w:lang w:val="en-US" w:eastAsia="zh-CN"/>
        </w:rPr>
      </w:pPr>
      <w:bookmarkStart w:id="138" w:name="_Toc8212"/>
      <w:r>
        <w:rPr>
          <w:rFonts w:hint="eastAsia" w:hAnsi="黑体" w:cs="黑体"/>
          <w:szCs w:val="21"/>
          <w:lang w:val="en-US" w:eastAsia="zh-CN"/>
        </w:rPr>
        <w:t xml:space="preserve">A.2.4.2  </w:t>
      </w:r>
      <w:r>
        <w:rPr>
          <w:rFonts w:hint="default"/>
          <w:lang w:val="en-US" w:eastAsia="zh-CN"/>
        </w:rPr>
        <w:t>安全性保证说明</w:t>
      </w:r>
      <w:bookmarkEnd w:id="138"/>
    </w:p>
    <w:p>
      <w:pPr>
        <w:bidi w:val="0"/>
        <w:ind w:firstLine="420" w:firstLineChars="200"/>
        <w:rPr>
          <w:rFonts w:hint="default"/>
          <w:lang w:val="en-US" w:eastAsia="zh-CN"/>
        </w:rPr>
      </w:pPr>
      <w:r>
        <w:rPr>
          <w:rFonts w:hint="default"/>
          <w:lang w:val="en-US" w:eastAsia="zh-CN"/>
        </w:rPr>
        <w:t>机密性：通讯报文采用AES算法加密，加密的信息只有接收方可解密防篡改：只有发送方可进行数据更改，其他任何人员无法修改</w:t>
      </w:r>
    </w:p>
    <w:p>
      <w:pPr>
        <w:bidi w:val="0"/>
        <w:ind w:firstLine="420" w:firstLineChars="200"/>
        <w:rPr>
          <w:rFonts w:hint="default"/>
          <w:lang w:val="en-US" w:eastAsia="zh-CN"/>
        </w:rPr>
      </w:pPr>
      <w:r>
        <w:rPr>
          <w:rFonts w:hint="default"/>
          <w:lang w:val="en-US" w:eastAsia="zh-CN"/>
        </w:rPr>
        <w:t>防抵赖：接收方收到的消息签名由发送方的私钥运算生成，其他人无法生成对应信息，采用RSA加签，只有接收方公钥才能验签。</w:t>
      </w:r>
    </w:p>
    <w:p>
      <w:pPr>
        <w:bidi w:val="0"/>
        <w:ind w:firstLine="420" w:firstLineChars="200"/>
        <w:rPr>
          <w:rFonts w:hint="default"/>
          <w:lang w:val="en-US" w:eastAsia="zh-CN"/>
        </w:rPr>
      </w:pPr>
      <w:r>
        <w:rPr>
          <w:rFonts w:hint="default"/>
          <w:lang w:val="en-US" w:eastAsia="zh-CN"/>
        </w:rPr>
        <w:t>身份认证：接收方能解密信息，发送方默认接收方具备身份合法的性质。</w:t>
      </w: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default"/>
          <w:lang w:val="en-US" w:eastAsia="zh-CN"/>
        </w:rPr>
      </w:pPr>
      <w:bookmarkStart w:id="139" w:name="_Toc16761"/>
      <w:r>
        <w:rPr>
          <w:rFonts w:hint="eastAsia" w:hAnsi="黑体" w:cs="黑体"/>
          <w:szCs w:val="21"/>
          <w:lang w:val="en-US" w:eastAsia="zh-CN"/>
        </w:rPr>
        <w:t xml:space="preserve">A.2.4.3  </w:t>
      </w:r>
      <w:r>
        <w:rPr>
          <w:rFonts w:hint="default"/>
          <w:lang w:val="en-US" w:eastAsia="zh-CN"/>
        </w:rPr>
        <w:t>通讯协议与报文格式</w:t>
      </w:r>
      <w:bookmarkEnd w:id="139"/>
    </w:p>
    <w:p>
      <w:pPr>
        <w:bidi w:val="0"/>
        <w:ind w:firstLine="420" w:firstLineChars="200"/>
        <w:rPr>
          <w:rFonts w:hint="default"/>
          <w:lang w:val="en-US" w:eastAsia="zh-CN"/>
        </w:rPr>
      </w:pPr>
      <w:r>
        <w:rPr>
          <w:rFonts w:hint="default"/>
          <w:lang w:val="en-US" w:eastAsia="zh-CN"/>
        </w:rPr>
        <w:t>通讯双方采用http post方法作为通讯协议。请求头必须添加：</w:t>
      </w:r>
    </w:p>
    <w:p>
      <w:pPr>
        <w:bidi w:val="0"/>
        <w:ind w:firstLine="420" w:firstLineChars="200"/>
        <w:rPr>
          <w:rFonts w:hint="default"/>
          <w:lang w:val="en-US" w:eastAsia="zh-CN"/>
        </w:rPr>
      </w:pPr>
      <w:r>
        <w:rPr>
          <w:rFonts w:hint="default"/>
          <w:lang w:val="en-US" w:eastAsia="zh-CN"/>
        </w:rPr>
        <w:t>"Content-type","application/x-www-form-urlencoded;charset=XXX</w:t>
      </w:r>
    </w:p>
    <w:p>
      <w:pPr>
        <w:bidi w:val="0"/>
        <w:ind w:firstLine="420" w:firstLineChars="200"/>
        <w:rPr>
          <w:rFonts w:hint="default"/>
          <w:lang w:val="en-US" w:eastAsia="zh-CN"/>
        </w:rPr>
      </w:pPr>
      <w:r>
        <w:rPr>
          <w:rFonts w:hint="default"/>
          <w:lang w:val="en-US" w:eastAsia="zh-CN"/>
        </w:rPr>
        <w:t>charset:GBK,UTF-8 可选</w:t>
      </w:r>
    </w:p>
    <w:p>
      <w:pPr>
        <w:bidi w:val="0"/>
        <w:ind w:firstLine="420" w:firstLineChars="200"/>
        <w:rPr>
          <w:rFonts w:hint="default"/>
          <w:lang w:val="en-US" w:eastAsia="zh-CN"/>
        </w:rPr>
      </w:pPr>
      <w:r>
        <w:rPr>
          <w:rFonts w:hint="default"/>
          <w:lang w:val="en-US" w:eastAsia="zh-CN"/>
        </w:rPr>
        <w:t>http请求参数都通过http URL编码传送</w:t>
      </w: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default"/>
          <w:lang w:val="en-US" w:eastAsia="zh-CN"/>
        </w:rPr>
      </w:pPr>
      <w:bookmarkStart w:id="140" w:name="_Toc20397"/>
      <w:r>
        <w:rPr>
          <w:rFonts w:hint="eastAsia" w:hAnsi="黑体" w:cs="黑体"/>
          <w:szCs w:val="21"/>
          <w:lang w:val="en-US" w:eastAsia="zh-CN"/>
        </w:rPr>
        <w:t xml:space="preserve">A.2.4.4  </w:t>
      </w:r>
      <w:r>
        <w:rPr>
          <w:rFonts w:hint="default"/>
          <w:lang w:val="en-US" w:eastAsia="zh-CN"/>
        </w:rPr>
        <w:t>其它说明</w:t>
      </w:r>
      <w:bookmarkEnd w:id="140"/>
    </w:p>
    <w:p>
      <w:pPr>
        <w:bidi w:val="0"/>
        <w:ind w:firstLine="420" w:firstLineChars="200"/>
        <w:rPr>
          <w:rFonts w:hint="default"/>
          <w:lang w:val="en-US" w:eastAsia="zh-CN"/>
        </w:rPr>
      </w:pPr>
      <w:r>
        <w:rPr>
          <w:rFonts w:hint="default"/>
          <w:lang w:val="en-US" w:eastAsia="zh-CN"/>
        </w:rPr>
        <w:t>为了保证高度安全性，请求与响应双方向采用同等策略</w:t>
      </w:r>
    </w:p>
    <w:p>
      <w:pPr>
        <w:bidi w:val="0"/>
        <w:ind w:firstLine="420" w:firstLineChars="200"/>
        <w:rPr>
          <w:rFonts w:hint="default"/>
          <w:lang w:val="en-US" w:eastAsia="zh-CN"/>
        </w:rPr>
      </w:pPr>
      <w:r>
        <w:rPr>
          <w:rFonts w:hint="default"/>
          <w:lang w:val="en-US" w:eastAsia="zh-CN"/>
        </w:rPr>
        <w:t>私钥的安全保管，是通讯安全的核心保障</w:t>
      </w:r>
    </w:p>
    <w:p>
      <w:pPr>
        <w:pStyle w:val="25"/>
        <w:numPr>
          <w:ilvl w:val="-1"/>
          <w:numId w:val="0"/>
        </w:numPr>
        <w:tabs>
          <w:tab w:val="left" w:pos="0"/>
        </w:tabs>
        <w:ind w:left="0" w:leftChars="0" w:firstLine="0" w:firstLineChars="0"/>
        <w:jc w:val="both"/>
        <w:rPr>
          <w:rFonts w:hint="default"/>
          <w:lang w:val="en-US" w:eastAsia="zh-CN"/>
        </w:rPr>
        <w:sectPr>
          <w:pgSz w:w="11906" w:h="16838"/>
          <w:pgMar w:top="1440" w:right="1800" w:bottom="1440" w:left="1800" w:header="1417" w:footer="1134" w:gutter="0"/>
          <w:pgBorders>
            <w:top w:val="none" w:sz="0" w:space="0"/>
            <w:left w:val="none" w:sz="0" w:space="0"/>
            <w:bottom w:val="none" w:sz="0" w:space="0"/>
            <w:right w:val="none" w:sz="0" w:space="0"/>
          </w:pgBorders>
          <w:cols w:space="425" w:num="1"/>
          <w:docGrid w:type="lines" w:linePitch="312" w:charSpace="0"/>
        </w:sectPr>
      </w:pPr>
    </w:p>
    <w:p>
      <w:pPr>
        <w:pStyle w:val="59"/>
        <w:spacing w:before="78" w:after="156"/>
      </w:pPr>
      <w:bookmarkStart w:id="141" w:name="_Toc90294509"/>
      <w:bookmarkStart w:id="142" w:name="_Toc3932"/>
    </w:p>
    <w:p>
      <w:pPr>
        <w:pStyle w:val="59"/>
        <w:spacing w:before="78" w:after="156"/>
      </w:pPr>
      <w:r>
        <w:rPr>
          <w:rFonts w:hint="eastAsia"/>
        </w:rPr>
        <w:t>（规范性）</w:t>
      </w:r>
      <w:bookmarkEnd w:id="141"/>
    </w:p>
    <w:p>
      <w:pPr>
        <w:pStyle w:val="59"/>
        <w:spacing w:before="78" w:after="156"/>
      </w:pPr>
      <w:r>
        <w:rPr>
          <w:rFonts w:hint="eastAsia"/>
        </w:rPr>
        <w:t>企业数据交换接口报文规范</w:t>
      </w:r>
      <w:bookmarkEnd w:id="142"/>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eastAsia" w:ascii="黑体" w:hAnsi="黑体" w:eastAsia="黑体" w:cs="黑体"/>
          <w:szCs w:val="21"/>
        </w:rPr>
      </w:pPr>
      <w:bookmarkStart w:id="143" w:name="_Toc7593"/>
      <w:bookmarkStart w:id="144" w:name="_Toc98176454"/>
      <w:bookmarkStart w:id="145" w:name="_Toc98177080"/>
      <w:bookmarkStart w:id="146" w:name="_Toc98173341"/>
      <w:bookmarkStart w:id="147" w:name="_Toc17834"/>
      <w:bookmarkStart w:id="148" w:name="_Toc18903"/>
      <w:bookmarkStart w:id="149" w:name="_Toc3356"/>
      <w:bookmarkStart w:id="150" w:name="_Toc5518"/>
      <w:r>
        <w:rPr>
          <w:rFonts w:hint="eastAsia" w:ascii="黑体" w:hAnsi="黑体" w:eastAsia="黑体" w:cs="黑体"/>
          <w:szCs w:val="21"/>
          <w:lang w:val="en-US" w:eastAsia="zh-CN"/>
        </w:rPr>
        <w:t>B.1</w:t>
      </w:r>
      <w:r>
        <w:rPr>
          <w:rFonts w:hint="eastAsia" w:hAnsi="黑体" w:cs="黑体"/>
          <w:szCs w:val="21"/>
          <w:lang w:val="en-US" w:eastAsia="zh-CN"/>
        </w:rPr>
        <w:t xml:space="preserve">  </w:t>
      </w:r>
      <w:r>
        <w:rPr>
          <w:rFonts w:hint="eastAsia" w:ascii="黑体" w:hAnsi="黑体" w:eastAsia="黑体" w:cs="黑体"/>
          <w:szCs w:val="21"/>
        </w:rPr>
        <w:t>退货订单申报报文</w:t>
      </w:r>
      <w:bookmarkEnd w:id="143"/>
      <w:bookmarkEnd w:id="144"/>
      <w:bookmarkEnd w:id="145"/>
      <w:bookmarkEnd w:id="146"/>
      <w:bookmarkEnd w:id="147"/>
      <w:bookmarkEnd w:id="148"/>
      <w:r>
        <w:rPr>
          <w:rFonts w:hint="eastAsia" w:ascii="黑体" w:hAnsi="黑体" w:eastAsia="黑体" w:cs="黑体"/>
          <w:szCs w:val="21"/>
        </w:rPr>
        <w:t>【DEN213】</w:t>
      </w:r>
      <w:bookmarkEnd w:id="149"/>
      <w:bookmarkEnd w:id="150"/>
    </w:p>
    <w:p>
      <w:pPr>
        <w:pStyle w:val="25"/>
        <w:keepNext w:val="0"/>
        <w:keepLines w:val="0"/>
        <w:pageBreakBefore w:val="0"/>
        <w:widowControl/>
        <w:numPr>
          <w:ilvl w:val="-1"/>
          <w:numId w:val="0"/>
        </w:numPr>
        <w:tabs>
          <w:tab w:val="left" w:pos="0"/>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eastAsia="黑体"/>
          <w:lang w:val="en-US" w:eastAsia="zh-CN"/>
        </w:rPr>
      </w:pPr>
      <w:r>
        <w:rPr>
          <w:rFonts w:hint="eastAsia" w:ascii="黑体" w:eastAsia="黑体"/>
          <w:lang w:val="en-US" w:eastAsia="zh-CN"/>
        </w:rPr>
        <w:t xml:space="preserve">B.1.1  </w:t>
      </w:r>
      <w:r>
        <w:rPr>
          <w:rFonts w:hint="eastAsia" w:ascii="黑体" w:eastAsia="黑体"/>
          <w:lang w:val="en-US"/>
        </w:rPr>
        <w:t>退货订单申报</w:t>
      </w:r>
      <w:r>
        <w:rPr>
          <w:rFonts w:hint="eastAsia" w:ascii="黑体" w:eastAsia="黑体"/>
        </w:rPr>
        <w:t>报文</w:t>
      </w:r>
      <w:r>
        <w:rPr>
          <w:rFonts w:hint="eastAsia" w:ascii="黑体" w:eastAsia="黑体"/>
          <w:lang w:val="en-US" w:eastAsia="zh-CN"/>
        </w:rPr>
        <w:t>结构</w:t>
      </w:r>
    </w:p>
    <w:p>
      <w:pPr>
        <w:bidi w:val="0"/>
        <w:ind w:firstLine="420" w:firstLineChars="200"/>
        <w:rPr>
          <w:rFonts w:hint="default"/>
          <w:lang w:val="en-US" w:eastAsia="zh-CN"/>
        </w:rPr>
      </w:pPr>
      <w:r>
        <w:rPr>
          <w:rFonts w:hint="eastAsia"/>
          <w:lang w:val="en-US"/>
        </w:rPr>
        <w:t>退货订单申报</w:t>
      </w:r>
      <w:r>
        <w:rPr>
          <w:rFonts w:hint="eastAsia"/>
        </w:rPr>
        <w:t>报文</w:t>
      </w:r>
      <w:r>
        <w:rPr>
          <w:rFonts w:hint="eastAsia"/>
          <w:lang w:val="en-US" w:eastAsia="zh-CN"/>
        </w:rPr>
        <w:t>结构见图B.1。</w:t>
      </w:r>
    </w:p>
    <w:p>
      <w:pPr>
        <w:pStyle w:val="25"/>
        <w:numPr>
          <w:ilvl w:val="-1"/>
          <w:numId w:val="0"/>
        </w:numPr>
        <w:tabs>
          <w:tab w:val="left" w:pos="0"/>
        </w:tabs>
        <w:ind w:left="0" w:leftChars="0" w:firstLine="0" w:firstLineChars="0"/>
        <w:jc w:val="center"/>
        <w:rPr>
          <w:rFonts w:hint="eastAsia"/>
        </w:rPr>
      </w:pPr>
      <w:r>
        <w:rPr>
          <w:rFonts w:hint="eastAsia"/>
        </w:rPr>
        <w:drawing>
          <wp:inline distT="0" distB="0" distL="114300" distR="114300">
            <wp:extent cx="4172585" cy="1960245"/>
            <wp:effectExtent l="0" t="0" r="18415" b="1905"/>
            <wp:docPr id="17" name="图片 7" descr="DEN213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DEN213Message"/>
                    <pic:cNvPicPr>
                      <a:picLocks noChangeAspect="1"/>
                    </pic:cNvPicPr>
                  </pic:nvPicPr>
                  <pic:blipFill>
                    <a:blip r:embed="rId23"/>
                    <a:stretch>
                      <a:fillRect/>
                    </a:stretch>
                  </pic:blipFill>
                  <pic:spPr>
                    <a:xfrm>
                      <a:off x="0" y="0"/>
                      <a:ext cx="4172585" cy="1960245"/>
                    </a:xfrm>
                    <a:prstGeom prst="rect">
                      <a:avLst/>
                    </a:prstGeom>
                    <a:noFill/>
                    <a:ln>
                      <a:noFill/>
                    </a:ln>
                  </pic:spPr>
                </pic:pic>
              </a:graphicData>
            </a:graphic>
          </wp:inline>
        </w:drawing>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图B.1  退货订单申报报文结构</w:t>
      </w:r>
    </w:p>
    <w:p>
      <w:pPr>
        <w:pStyle w:val="25"/>
        <w:keepNext w:val="0"/>
        <w:keepLines w:val="0"/>
        <w:pageBreakBefore w:val="0"/>
        <w:widowControl/>
        <w:numPr>
          <w:ilvl w:val="-1"/>
          <w:numId w:val="0"/>
        </w:numPr>
        <w:tabs>
          <w:tab w:val="left" w:pos="0"/>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default" w:ascii="黑体" w:eastAsia="黑体"/>
          <w:lang w:val="en-US" w:eastAsia="zh-CN"/>
        </w:rPr>
      </w:pPr>
      <w:r>
        <w:rPr>
          <w:rFonts w:hint="eastAsia" w:ascii="黑体" w:eastAsia="黑体"/>
          <w:lang w:val="en-US" w:eastAsia="zh-CN"/>
        </w:rPr>
        <w:t>B.</w:t>
      </w:r>
      <w:r>
        <w:rPr>
          <w:rFonts w:hint="default" w:ascii="黑体" w:eastAsia="黑体"/>
          <w:lang w:val="en-US" w:eastAsia="zh-CN"/>
        </w:rPr>
        <w:t>1.2</w:t>
      </w:r>
      <w:r>
        <w:rPr>
          <w:rFonts w:hint="eastAsia" w:ascii="黑体" w:eastAsia="黑体"/>
          <w:lang w:val="en-US" w:eastAsia="zh-CN"/>
        </w:rPr>
        <w:t xml:space="preserve">  </w:t>
      </w:r>
      <w:r>
        <w:rPr>
          <w:rFonts w:hint="default" w:ascii="黑体" w:eastAsia="黑体"/>
          <w:lang w:val="en-US" w:eastAsia="zh-CN"/>
        </w:rPr>
        <w:t>退货订单报文根节点</w:t>
      </w:r>
    </w:p>
    <w:p>
      <w:pPr>
        <w:pStyle w:val="25"/>
        <w:numPr>
          <w:ilvl w:val="-1"/>
          <w:numId w:val="0"/>
        </w:numPr>
        <w:tabs>
          <w:tab w:val="left" w:pos="0"/>
        </w:tabs>
        <w:ind w:left="0" w:leftChars="0" w:firstLine="420" w:firstLineChars="200"/>
        <w:jc w:val="both"/>
        <w:rPr>
          <w:rFonts w:hint="default"/>
          <w:lang w:val="en-US" w:eastAsia="zh-CN"/>
        </w:rPr>
      </w:pPr>
      <w:r>
        <w:rPr>
          <w:rFonts w:hint="default"/>
          <w:lang w:val="en-US" w:eastAsia="zh-CN"/>
        </w:rPr>
        <w:t>DEN213Message 为退货订单报文XML根节点名称，包括guid和version两个属性，</w:t>
      </w:r>
      <w:r>
        <w:rPr>
          <w:rFonts w:hint="eastAsia"/>
          <w:lang w:val="en-US" w:eastAsia="zh-CN"/>
        </w:rPr>
        <w:t>见</w:t>
      </w:r>
      <w:r>
        <w:rPr>
          <w:rFonts w:hint="default"/>
          <w:lang w:val="en-US" w:eastAsia="zh-CN"/>
        </w:rPr>
        <w:t>表</w:t>
      </w:r>
      <w:r>
        <w:rPr>
          <w:rFonts w:hint="eastAsia"/>
          <w:lang w:val="en-US" w:eastAsia="zh-CN"/>
        </w:rPr>
        <w:t>B.1</w:t>
      </w:r>
      <w:r>
        <w:rPr>
          <w:rFonts w:hint="default"/>
          <w:lang w:val="en-US" w:eastAsia="zh-CN"/>
        </w:rPr>
        <w:t>。</w:t>
      </w:r>
    </w:p>
    <w:p>
      <w:pPr>
        <w:pStyle w:val="5"/>
        <w:numPr>
          <w:ilvl w:val="255"/>
          <w:numId w:val="0"/>
        </w:numPr>
        <w:tabs>
          <w:tab w:val="left" w:pos="0"/>
        </w:tabs>
        <w:spacing w:before="156" w:after="156"/>
        <w:rPr>
          <w:rFonts w:hint="eastAsia" w:ascii="黑体" w:hAnsi="黑体" w:cs="黑体"/>
          <w:bCs w:val="0"/>
          <w:szCs w:val="21"/>
          <w:lang w:val="en-US" w:eastAsia="zh-CN"/>
        </w:rPr>
      </w:pPr>
      <w:r>
        <w:rPr>
          <w:rFonts w:hint="eastAsia" w:ascii="黑体" w:hAnsi="黑体" w:cs="黑体"/>
          <w:bCs w:val="0"/>
          <w:szCs w:val="21"/>
          <w:lang w:val="en-US" w:eastAsia="zh-CN"/>
        </w:rPr>
        <w:t>表B.1  DEN213Message节点的属性</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23"/>
        <w:gridCol w:w="1123"/>
        <w:gridCol w:w="900"/>
        <w:gridCol w:w="677"/>
        <w:gridCol w:w="46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23" w:type="dxa"/>
            <w:tcBorders>
              <w:bottom w:val="single" w:color="000000" w:sz="12" w:space="0"/>
            </w:tcBorders>
            <w:noWrap w:val="0"/>
            <w:vAlign w:val="top"/>
          </w:tcPr>
          <w:p>
            <w:pPr>
              <w:jc w:val="center"/>
              <w:rPr>
                <w:sz w:val="18"/>
                <w:szCs w:val="18"/>
              </w:rPr>
            </w:pPr>
            <w:r>
              <w:rPr>
                <w:sz w:val="18"/>
                <w:szCs w:val="18"/>
              </w:rPr>
              <w:t>名称</w:t>
            </w:r>
          </w:p>
        </w:tc>
        <w:tc>
          <w:tcPr>
            <w:tcW w:w="1123" w:type="dxa"/>
            <w:tcBorders>
              <w:bottom w:val="single" w:color="000000" w:sz="12" w:space="0"/>
            </w:tcBorders>
            <w:noWrap w:val="0"/>
            <w:vAlign w:val="top"/>
          </w:tcPr>
          <w:p>
            <w:pPr>
              <w:jc w:val="center"/>
              <w:rPr>
                <w:sz w:val="18"/>
                <w:szCs w:val="18"/>
              </w:rPr>
            </w:pPr>
            <w:r>
              <w:rPr>
                <w:sz w:val="18"/>
                <w:szCs w:val="18"/>
              </w:rPr>
              <w:t>英文名称</w:t>
            </w:r>
          </w:p>
        </w:tc>
        <w:tc>
          <w:tcPr>
            <w:tcW w:w="900" w:type="dxa"/>
            <w:tcBorders>
              <w:bottom w:val="single" w:color="000000" w:sz="12" w:space="0"/>
            </w:tcBorders>
            <w:noWrap w:val="0"/>
            <w:vAlign w:val="top"/>
          </w:tcPr>
          <w:p>
            <w:pPr>
              <w:jc w:val="center"/>
              <w:rPr>
                <w:sz w:val="18"/>
                <w:szCs w:val="18"/>
              </w:rPr>
            </w:pPr>
            <w:r>
              <w:rPr>
                <w:sz w:val="18"/>
                <w:szCs w:val="18"/>
              </w:rPr>
              <w:t>类型</w:t>
            </w:r>
          </w:p>
        </w:tc>
        <w:tc>
          <w:tcPr>
            <w:tcW w:w="677" w:type="dxa"/>
            <w:tcBorders>
              <w:bottom w:val="single" w:color="000000" w:sz="12" w:space="0"/>
            </w:tcBorders>
            <w:noWrap w:val="0"/>
            <w:vAlign w:val="top"/>
          </w:tcPr>
          <w:p>
            <w:pPr>
              <w:jc w:val="center"/>
              <w:rPr>
                <w:sz w:val="18"/>
                <w:szCs w:val="18"/>
              </w:rPr>
            </w:pPr>
            <w:r>
              <w:rPr>
                <w:sz w:val="18"/>
                <w:szCs w:val="18"/>
              </w:rPr>
              <w:t>必填</w:t>
            </w:r>
          </w:p>
        </w:tc>
        <w:tc>
          <w:tcPr>
            <w:tcW w:w="4698" w:type="dxa"/>
            <w:tcBorders>
              <w:bottom w:val="single" w:color="000000" w:sz="12" w:space="0"/>
            </w:tcBorders>
            <w:noWrap w:val="0"/>
            <w:vAlign w:val="top"/>
          </w:tcPr>
          <w:p>
            <w:pPr>
              <w:jc w:val="center"/>
              <w:rPr>
                <w:sz w:val="18"/>
                <w:szCs w:val="18"/>
              </w:rPr>
            </w:pPr>
            <w:r>
              <w:rPr>
                <w:sz w:val="18"/>
                <w:szCs w:val="18"/>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23" w:type="dxa"/>
            <w:tcBorders>
              <w:top w:val="single" w:color="000000" w:sz="12" w:space="0"/>
              <w:tl2br w:val="nil"/>
              <w:tr2bl w:val="nil"/>
            </w:tcBorders>
            <w:noWrap w:val="0"/>
            <w:vAlign w:val="top"/>
          </w:tcPr>
          <w:p>
            <w:pPr>
              <w:jc w:val="center"/>
              <w:rPr>
                <w:sz w:val="18"/>
                <w:szCs w:val="18"/>
              </w:rPr>
            </w:pPr>
            <w:r>
              <w:rPr>
                <w:sz w:val="18"/>
                <w:szCs w:val="18"/>
              </w:rPr>
              <w:t>报文编号</w:t>
            </w:r>
          </w:p>
        </w:tc>
        <w:tc>
          <w:tcPr>
            <w:tcW w:w="1123" w:type="dxa"/>
            <w:tcBorders>
              <w:top w:val="single" w:color="000000" w:sz="12" w:space="0"/>
              <w:tl2br w:val="nil"/>
              <w:tr2bl w:val="nil"/>
            </w:tcBorders>
            <w:noWrap w:val="0"/>
            <w:vAlign w:val="top"/>
          </w:tcPr>
          <w:p>
            <w:pPr>
              <w:jc w:val="center"/>
              <w:rPr>
                <w:sz w:val="18"/>
                <w:szCs w:val="18"/>
              </w:rPr>
            </w:pPr>
            <w:r>
              <w:rPr>
                <w:sz w:val="18"/>
                <w:szCs w:val="18"/>
              </w:rPr>
              <w:t>guid</w:t>
            </w:r>
          </w:p>
        </w:tc>
        <w:tc>
          <w:tcPr>
            <w:tcW w:w="900" w:type="dxa"/>
            <w:tcBorders>
              <w:top w:val="single" w:color="000000" w:sz="12" w:space="0"/>
              <w:tl2br w:val="nil"/>
              <w:tr2bl w:val="nil"/>
            </w:tcBorders>
            <w:noWrap w:val="0"/>
            <w:vAlign w:val="top"/>
          </w:tcPr>
          <w:p>
            <w:pPr>
              <w:jc w:val="center"/>
              <w:rPr>
                <w:sz w:val="18"/>
                <w:szCs w:val="18"/>
              </w:rPr>
            </w:pPr>
            <w:r>
              <w:rPr>
                <w:sz w:val="18"/>
                <w:szCs w:val="18"/>
              </w:rPr>
              <w:t>an36</w:t>
            </w:r>
          </w:p>
        </w:tc>
        <w:tc>
          <w:tcPr>
            <w:tcW w:w="677" w:type="dxa"/>
            <w:tcBorders>
              <w:top w:val="single" w:color="000000" w:sz="12" w:space="0"/>
              <w:tl2br w:val="nil"/>
              <w:tr2bl w:val="nil"/>
            </w:tcBorders>
            <w:noWrap w:val="0"/>
            <w:vAlign w:val="top"/>
          </w:tcPr>
          <w:p>
            <w:pPr>
              <w:jc w:val="center"/>
              <w:rPr>
                <w:sz w:val="18"/>
                <w:szCs w:val="18"/>
              </w:rPr>
            </w:pPr>
            <w:r>
              <w:rPr>
                <w:sz w:val="18"/>
                <w:szCs w:val="18"/>
              </w:rPr>
              <w:t>是</w:t>
            </w:r>
          </w:p>
        </w:tc>
        <w:tc>
          <w:tcPr>
            <w:tcW w:w="4698" w:type="dxa"/>
            <w:tcBorders>
              <w:top w:val="single" w:color="000000" w:sz="12" w:space="0"/>
              <w:tl2br w:val="nil"/>
              <w:tr2bl w:val="nil"/>
            </w:tcBorders>
            <w:noWrap w:val="0"/>
            <w:vAlign w:val="top"/>
          </w:tcPr>
          <w:p>
            <w:pPr>
              <w:jc w:val="center"/>
              <w:rPr>
                <w:sz w:val="18"/>
                <w:szCs w:val="18"/>
              </w:rPr>
            </w:pPr>
            <w:r>
              <w:rPr>
                <w:sz w:val="18"/>
                <w:szCs w:val="18"/>
              </w:rPr>
              <w:t>报文的36位系统唯一序号（英文字母大写）。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23" w:type="dxa"/>
            <w:tcBorders>
              <w:tl2br w:val="nil"/>
              <w:tr2bl w:val="nil"/>
            </w:tcBorders>
            <w:noWrap w:val="0"/>
            <w:vAlign w:val="top"/>
          </w:tcPr>
          <w:p>
            <w:pPr>
              <w:jc w:val="center"/>
              <w:rPr>
                <w:sz w:val="18"/>
                <w:szCs w:val="18"/>
              </w:rPr>
            </w:pPr>
            <w:r>
              <w:rPr>
                <w:sz w:val="18"/>
                <w:szCs w:val="18"/>
              </w:rPr>
              <w:t>版本号</w:t>
            </w:r>
          </w:p>
        </w:tc>
        <w:tc>
          <w:tcPr>
            <w:tcW w:w="1123" w:type="dxa"/>
            <w:tcBorders>
              <w:tl2br w:val="nil"/>
              <w:tr2bl w:val="nil"/>
            </w:tcBorders>
            <w:noWrap w:val="0"/>
            <w:vAlign w:val="top"/>
          </w:tcPr>
          <w:p>
            <w:pPr>
              <w:jc w:val="center"/>
              <w:rPr>
                <w:sz w:val="18"/>
                <w:szCs w:val="18"/>
              </w:rPr>
            </w:pPr>
            <w:r>
              <w:rPr>
                <w:sz w:val="18"/>
                <w:szCs w:val="18"/>
              </w:rPr>
              <w:t>version</w:t>
            </w:r>
          </w:p>
        </w:tc>
        <w:tc>
          <w:tcPr>
            <w:tcW w:w="900" w:type="dxa"/>
            <w:tcBorders>
              <w:tl2br w:val="nil"/>
              <w:tr2bl w:val="nil"/>
            </w:tcBorders>
            <w:noWrap w:val="0"/>
            <w:vAlign w:val="top"/>
          </w:tcPr>
          <w:p>
            <w:pPr>
              <w:jc w:val="center"/>
              <w:rPr>
                <w:sz w:val="18"/>
                <w:szCs w:val="18"/>
              </w:rPr>
            </w:pPr>
            <w:r>
              <w:rPr>
                <w:sz w:val="18"/>
                <w:szCs w:val="18"/>
              </w:rPr>
              <w:t>an..10</w:t>
            </w:r>
          </w:p>
        </w:tc>
        <w:tc>
          <w:tcPr>
            <w:tcW w:w="677" w:type="dxa"/>
            <w:tcBorders>
              <w:tl2br w:val="nil"/>
              <w:tr2bl w:val="nil"/>
            </w:tcBorders>
            <w:noWrap w:val="0"/>
            <w:vAlign w:val="top"/>
          </w:tcPr>
          <w:p>
            <w:pPr>
              <w:jc w:val="center"/>
              <w:rPr>
                <w:sz w:val="18"/>
                <w:szCs w:val="18"/>
              </w:rPr>
            </w:pPr>
            <w:r>
              <w:rPr>
                <w:sz w:val="18"/>
                <w:szCs w:val="18"/>
              </w:rPr>
              <w:t>是</w:t>
            </w:r>
          </w:p>
        </w:tc>
        <w:tc>
          <w:tcPr>
            <w:tcW w:w="4698" w:type="dxa"/>
            <w:tcBorders>
              <w:tl2br w:val="nil"/>
              <w:tr2bl w:val="nil"/>
            </w:tcBorders>
            <w:noWrap w:val="0"/>
            <w:vAlign w:val="top"/>
          </w:tcPr>
          <w:p>
            <w:pPr>
              <w:jc w:val="center"/>
              <w:rPr>
                <w:sz w:val="18"/>
                <w:szCs w:val="18"/>
              </w:rPr>
            </w:pPr>
            <w:r>
              <w:rPr>
                <w:sz w:val="18"/>
                <w:szCs w:val="18"/>
              </w:rPr>
              <w:t>报文版本号，默认为1.0</w:t>
            </w:r>
          </w:p>
        </w:tc>
      </w:tr>
    </w:tbl>
    <w:p>
      <w:pPr>
        <w:pStyle w:val="25"/>
        <w:keepNext w:val="0"/>
        <w:keepLines w:val="0"/>
        <w:pageBreakBefore w:val="0"/>
        <w:widowControl/>
        <w:numPr>
          <w:ilvl w:val="-1"/>
          <w:numId w:val="0"/>
        </w:numPr>
        <w:tabs>
          <w:tab w:val="left" w:pos="0"/>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eastAsia="黑体"/>
          <w:lang w:val="en-US" w:eastAsia="zh-CN"/>
        </w:rPr>
      </w:pPr>
      <w:r>
        <w:rPr>
          <w:rFonts w:hint="eastAsia" w:ascii="黑体" w:eastAsia="黑体"/>
          <w:lang w:val="en-US" w:eastAsia="zh-CN"/>
        </w:rPr>
        <w:t>B.1.3  退货订单业务节点描述</w:t>
      </w:r>
    </w:p>
    <w:p>
      <w:pPr>
        <w:pStyle w:val="25"/>
        <w:numPr>
          <w:ilvl w:val="-1"/>
          <w:numId w:val="0"/>
        </w:numPr>
        <w:tabs>
          <w:tab w:val="left" w:pos="0"/>
        </w:tabs>
        <w:ind w:left="0" w:leftChars="0" w:firstLine="420" w:firstLineChars="200"/>
        <w:jc w:val="both"/>
        <w:rPr>
          <w:rFonts w:hint="eastAsia"/>
          <w:lang w:val="en-US" w:eastAsia="zh-CN"/>
        </w:rPr>
      </w:pPr>
      <w:r>
        <w:rPr>
          <w:rFonts w:hint="eastAsia"/>
          <w:lang w:val="en-US" w:eastAsia="zh-CN"/>
        </w:rPr>
        <w:t>退货订单业务节点描述见表B.2。</w:t>
      </w:r>
    </w:p>
    <w:p>
      <w:pPr>
        <w:pStyle w:val="5"/>
        <w:numPr>
          <w:ilvl w:val="255"/>
          <w:numId w:val="0"/>
        </w:numPr>
        <w:tabs>
          <w:tab w:val="left" w:pos="0"/>
        </w:tabs>
        <w:spacing w:before="156" w:after="156"/>
        <w:rPr>
          <w:rFonts w:hint="eastAsia" w:ascii="黑体" w:hAnsi="黑体" w:cs="黑体"/>
          <w:bCs w:val="0"/>
          <w:szCs w:val="21"/>
          <w:lang w:val="en-US" w:eastAsia="zh-CN"/>
        </w:rPr>
      </w:pPr>
      <w:r>
        <w:rPr>
          <w:rFonts w:hint="eastAsia" w:ascii="黑体" w:hAnsi="黑体" w:cs="黑体"/>
          <w:bCs w:val="0"/>
          <w:szCs w:val="21"/>
          <w:lang w:val="en-US" w:eastAsia="zh-CN"/>
        </w:rPr>
        <w:t>表B.2  退货订单业务节点描述</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13" w:type="dxa"/>
          <w:bottom w:w="0" w:type="dxa"/>
          <w:right w:w="0" w:type="dxa"/>
        </w:tblCellMar>
      </w:tblPr>
      <w:tblGrid>
        <w:gridCol w:w="1568"/>
        <w:gridCol w:w="1373"/>
        <w:gridCol w:w="842"/>
        <w:gridCol w:w="750"/>
        <w:gridCol w:w="398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中文名称</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英文名称</w:t>
            </w:r>
          </w:p>
        </w:tc>
        <w:tc>
          <w:tcPr>
            <w:tcW w:w="842" w:type="dxa"/>
            <w:tcBorders>
              <w:tl2br w:val="nil"/>
              <w:tr2bl w:val="nil"/>
            </w:tcBorders>
            <w:noWrap w:val="0"/>
            <w:vAlign w:val="center"/>
          </w:tcPr>
          <w:p>
            <w:pPr>
              <w:jc w:val="center"/>
              <w:rPr>
                <w:rFonts w:hint="eastAsia"/>
                <w:sz w:val="18"/>
                <w:szCs w:val="18"/>
              </w:rPr>
            </w:pPr>
            <w:r>
              <w:rPr>
                <w:rFonts w:hint="eastAsia"/>
                <w:sz w:val="18"/>
                <w:szCs w:val="18"/>
              </w:rPr>
              <w:t>数据格式</w:t>
            </w:r>
          </w:p>
        </w:tc>
        <w:tc>
          <w:tcPr>
            <w:tcW w:w="750" w:type="dxa"/>
            <w:tcBorders>
              <w:tl2br w:val="nil"/>
              <w:tr2bl w:val="nil"/>
            </w:tcBorders>
            <w:noWrap w:val="0"/>
            <w:vAlign w:val="center"/>
          </w:tcPr>
          <w:p>
            <w:pPr>
              <w:jc w:val="center"/>
              <w:rPr>
                <w:rFonts w:hint="eastAsia"/>
                <w:sz w:val="18"/>
                <w:szCs w:val="18"/>
              </w:rPr>
            </w:pPr>
            <w:r>
              <w:rPr>
                <w:rFonts w:hint="eastAsia"/>
                <w:sz w:val="18"/>
                <w:szCs w:val="18"/>
              </w:rPr>
              <w:t>必填</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8521" w:type="dxa"/>
            <w:gridSpan w:val="5"/>
            <w:tcBorders>
              <w:tl2br w:val="nil"/>
              <w:tr2bl w:val="nil"/>
            </w:tcBorders>
            <w:noWrap w:val="0"/>
            <w:vAlign w:val="center"/>
          </w:tcPr>
          <w:p>
            <w:pPr>
              <w:jc w:val="center"/>
              <w:rPr>
                <w:rFonts w:hint="eastAsia"/>
                <w:sz w:val="18"/>
                <w:szCs w:val="18"/>
                <w:lang w:val="en-US"/>
              </w:rPr>
            </w:pPr>
            <w:r>
              <w:rPr>
                <w:rFonts w:hint="eastAsia"/>
                <w:sz w:val="18"/>
                <w:szCs w:val="18"/>
                <w:lang w:val="en-US"/>
              </w:rPr>
              <w:t>InvtRefundHead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系统唯一序号</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guid</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C36</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企业系统生成36位唯一序号（英文字母大写）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报送类型</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appType</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C1</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企业报送类型。1-新增 2-变更 3-删除。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报送时间</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appTime</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C14</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企业报送时间 格式:YYYYMMDDhhmmss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报送状态</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appStatus</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C1</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企业报送状态。默认填写2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lang w:val="zh-CN"/>
              </w:rPr>
            </w:pPr>
            <w:r>
              <w:rPr>
                <w:rFonts w:hint="eastAsia"/>
                <w:sz w:val="18"/>
                <w:szCs w:val="18"/>
              </w:rPr>
              <w:t>申报地海关代码</w:t>
            </w:r>
          </w:p>
        </w:tc>
        <w:tc>
          <w:tcPr>
            <w:tcW w:w="1373" w:type="dxa"/>
            <w:tcBorders>
              <w:tl2br w:val="nil"/>
              <w:tr2bl w:val="nil"/>
            </w:tcBorders>
            <w:noWrap w:val="0"/>
            <w:vAlign w:val="center"/>
          </w:tcPr>
          <w:p>
            <w:pPr>
              <w:jc w:val="center"/>
              <w:rPr>
                <w:rFonts w:hint="eastAsia"/>
                <w:sz w:val="18"/>
                <w:szCs w:val="18"/>
                <w:lang w:val="zh-CN"/>
              </w:rPr>
            </w:pPr>
            <w:r>
              <w:rPr>
                <w:rFonts w:hint="eastAsia"/>
                <w:sz w:val="18"/>
                <w:szCs w:val="18"/>
              </w:rPr>
              <w:t>customsCode</w:t>
            </w:r>
          </w:p>
        </w:tc>
        <w:tc>
          <w:tcPr>
            <w:tcW w:w="842" w:type="dxa"/>
            <w:tcBorders>
              <w:tl2br w:val="nil"/>
              <w:tr2bl w:val="nil"/>
            </w:tcBorders>
            <w:noWrap w:val="0"/>
            <w:vAlign w:val="center"/>
          </w:tcPr>
          <w:p>
            <w:pPr>
              <w:jc w:val="center"/>
              <w:rPr>
                <w:rFonts w:hint="eastAsia"/>
                <w:sz w:val="18"/>
                <w:szCs w:val="18"/>
                <w:lang w:val="zh-CN"/>
              </w:rPr>
            </w:pPr>
            <w:r>
              <w:rPr>
                <w:rFonts w:hint="eastAsia"/>
                <w:sz w:val="18"/>
                <w:szCs w:val="18"/>
              </w:rPr>
              <w:t>C4</w:t>
            </w:r>
          </w:p>
        </w:tc>
        <w:tc>
          <w:tcPr>
            <w:tcW w:w="750" w:type="dxa"/>
            <w:tcBorders>
              <w:tl2br w:val="nil"/>
              <w:tr2bl w:val="nil"/>
            </w:tcBorders>
            <w:noWrap w:val="0"/>
            <w:vAlign w:val="center"/>
          </w:tcPr>
          <w:p>
            <w:pPr>
              <w:jc w:val="center"/>
              <w:rPr>
                <w:rFonts w:hint="eastAsia"/>
                <w:sz w:val="18"/>
                <w:szCs w:val="18"/>
                <w:lang w:val="zh-CN"/>
              </w:rPr>
            </w:pPr>
            <w:r>
              <w:rPr>
                <w:rFonts w:hint="eastAsia"/>
                <w:sz w:val="18"/>
                <w:szCs w:val="18"/>
              </w:rPr>
              <w:t>是</w:t>
            </w:r>
          </w:p>
        </w:tc>
        <w:tc>
          <w:tcPr>
            <w:tcW w:w="3988" w:type="dxa"/>
            <w:tcBorders>
              <w:tl2br w:val="nil"/>
              <w:tr2bl w:val="nil"/>
            </w:tcBorders>
            <w:noWrap w:val="0"/>
            <w:vAlign w:val="center"/>
          </w:tcPr>
          <w:p>
            <w:pPr>
              <w:jc w:val="both"/>
              <w:rPr>
                <w:rFonts w:hint="eastAsia"/>
                <w:sz w:val="18"/>
                <w:szCs w:val="18"/>
                <w:lang w:val="zh-CN"/>
              </w:rPr>
            </w:pPr>
            <w:r>
              <w:rPr>
                <w:rFonts w:hint="eastAsia"/>
                <w:sz w:val="18"/>
                <w:szCs w:val="18"/>
              </w:rPr>
              <w:t>接受申报的海关关区代码，参照JGS/T 18《海关关区代码》。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提运单号</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billNo</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C..37</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提运单号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订单编号</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orderNo</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C..60</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原交易订单编号-交易平台的订单编号，同一交易平台的订单编号应唯一。</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电商平台名称</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ebpName</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C..100</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电商平台的登记名称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电商平台编码</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ebpCode</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C..50</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both"/>
              <w:rPr>
                <w:rFonts w:hint="eastAsia"/>
                <w:sz w:val="18"/>
                <w:szCs w:val="18"/>
              </w:rPr>
            </w:pPr>
            <w:r>
              <w:rPr>
                <w:rFonts w:hint="eastAsia"/>
                <w:sz w:val="18"/>
                <w:szCs w:val="18"/>
              </w:rPr>
              <w:t>电商平台的海关注册登记编号或统一社会信用代码，与原订单电商平台企业一致。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电商企业名称</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ebcName</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C..100</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收发货人（电商企业）的登记名称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电商企业编号</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ebcCode</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C..18</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both"/>
              <w:rPr>
                <w:rFonts w:hint="eastAsia"/>
                <w:sz w:val="18"/>
                <w:szCs w:val="18"/>
              </w:rPr>
            </w:pPr>
            <w:r>
              <w:rPr>
                <w:rFonts w:hint="eastAsia"/>
                <w:sz w:val="18"/>
                <w:szCs w:val="18"/>
              </w:rPr>
              <w:t>收发货人（电商企业）的海关注册登记编号或统一社会信用代码，与原订单电商企业一致。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退货物流企业编码</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logisticsCode</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C..18</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退货物流企业编码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退货物流企业名称</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logisticsName</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C..100</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退货物流企业名称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退货运单号</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logisticsNo</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C..80</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退货货物的物流面单号码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毛重</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grossWeight</w:t>
            </w:r>
          </w:p>
        </w:tc>
        <w:tc>
          <w:tcPr>
            <w:tcW w:w="842" w:type="dxa"/>
            <w:tcBorders>
              <w:tl2br w:val="nil"/>
              <w:tr2bl w:val="nil"/>
            </w:tcBorders>
            <w:noWrap w:val="0"/>
            <w:vAlign w:val="center"/>
          </w:tcPr>
          <w:p>
            <w:pPr>
              <w:jc w:val="center"/>
              <w:rPr>
                <w:rFonts w:hint="eastAsia"/>
                <w:sz w:val="18"/>
                <w:szCs w:val="18"/>
              </w:rPr>
            </w:pPr>
            <w:r>
              <w:rPr>
                <w:rFonts w:hint="eastAsia"/>
                <w:sz w:val="18"/>
                <w:szCs w:val="18"/>
              </w:rPr>
              <w:t>N19,5</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退货商品毛重-单位为千克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lang w:val="en-US"/>
              </w:rPr>
            </w:pPr>
            <w:r>
              <w:rPr>
                <w:rFonts w:hint="eastAsia"/>
                <w:sz w:val="18"/>
                <w:szCs w:val="18"/>
                <w:lang w:val="en-US"/>
              </w:rPr>
              <w:t>退货类型</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refundType</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C..2</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both"/>
              <w:rPr>
                <w:rFonts w:hint="eastAsia"/>
                <w:sz w:val="18"/>
                <w:szCs w:val="18"/>
              </w:rPr>
            </w:pPr>
            <w:r>
              <w:rPr>
                <w:rFonts w:hint="eastAsia"/>
                <w:sz w:val="18"/>
                <w:szCs w:val="18"/>
              </w:rPr>
              <w:t>退货类型（0-未触达消费者退货,1-实际触达消费者退货）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lang w:val="en-US"/>
              </w:rPr>
            </w:pPr>
            <w:r>
              <w:rPr>
                <w:rFonts w:hint="eastAsia"/>
                <w:sz w:val="18"/>
                <w:szCs w:val="18"/>
                <w:lang w:val="en-US"/>
              </w:rPr>
              <w:t>退货原因代码</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reasonCode</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C..2</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01-派送失败02-清关失败03-消费者退货04-其他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8521" w:type="dxa"/>
            <w:gridSpan w:val="5"/>
            <w:tcBorders>
              <w:tl2br w:val="nil"/>
              <w:tr2bl w:val="nil"/>
            </w:tcBorders>
            <w:noWrap w:val="0"/>
            <w:vAlign w:val="center"/>
          </w:tcPr>
          <w:p>
            <w:pPr>
              <w:jc w:val="center"/>
              <w:rPr>
                <w:rFonts w:hint="eastAsia"/>
                <w:sz w:val="18"/>
                <w:szCs w:val="18"/>
                <w:lang w:val="en-US"/>
              </w:rPr>
            </w:pPr>
            <w:r>
              <w:rPr>
                <w:rFonts w:hint="eastAsia"/>
                <w:sz w:val="18"/>
                <w:szCs w:val="18"/>
                <w:lang w:val="en-US"/>
              </w:rPr>
              <w:t>InvtRefundList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商品项号</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gnum</w:t>
            </w:r>
          </w:p>
        </w:tc>
        <w:tc>
          <w:tcPr>
            <w:tcW w:w="842" w:type="dxa"/>
            <w:tcBorders>
              <w:tl2br w:val="nil"/>
              <w:tr2bl w:val="nil"/>
            </w:tcBorders>
            <w:noWrap w:val="0"/>
            <w:vAlign w:val="center"/>
          </w:tcPr>
          <w:p>
            <w:pPr>
              <w:jc w:val="center"/>
              <w:rPr>
                <w:rFonts w:hint="eastAsia"/>
                <w:sz w:val="18"/>
                <w:szCs w:val="18"/>
              </w:rPr>
            </w:pPr>
            <w:r>
              <w:rPr>
                <w:rFonts w:hint="eastAsia"/>
                <w:sz w:val="18"/>
                <w:szCs w:val="18"/>
                <w:lang w:val="en-US"/>
              </w:rPr>
              <w:t>N4</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对应原订单商品项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商品名称</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gname</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C..250</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退货商品名称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商品编码</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gcode</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C..10</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退货商品海关商品编码（10位）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规格型号</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gmodel</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C..250</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退货商品规格型号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申报数量</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qty</w:t>
            </w:r>
          </w:p>
        </w:tc>
        <w:tc>
          <w:tcPr>
            <w:tcW w:w="842" w:type="dxa"/>
            <w:tcBorders>
              <w:tl2br w:val="nil"/>
              <w:tr2bl w:val="nil"/>
            </w:tcBorders>
            <w:noWrap w:val="0"/>
            <w:vAlign w:val="center"/>
          </w:tcPr>
          <w:p>
            <w:pPr>
              <w:jc w:val="center"/>
              <w:rPr>
                <w:rFonts w:hint="eastAsia"/>
                <w:sz w:val="18"/>
                <w:szCs w:val="18"/>
              </w:rPr>
            </w:pPr>
            <w:r>
              <w:rPr>
                <w:rFonts w:hint="eastAsia"/>
                <w:sz w:val="18"/>
                <w:szCs w:val="18"/>
              </w:rPr>
              <w:t>N19,5</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退货商品申报数量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申报计量单位</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unit</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C3</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退货商品申报计量单位,海关参数代码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法定数量</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qty1</w:t>
            </w:r>
          </w:p>
        </w:tc>
        <w:tc>
          <w:tcPr>
            <w:tcW w:w="842" w:type="dxa"/>
            <w:tcBorders>
              <w:tl2br w:val="nil"/>
              <w:tr2bl w:val="nil"/>
            </w:tcBorders>
            <w:noWrap w:val="0"/>
            <w:vAlign w:val="center"/>
          </w:tcPr>
          <w:p>
            <w:pPr>
              <w:jc w:val="center"/>
              <w:rPr>
                <w:rFonts w:hint="eastAsia"/>
                <w:sz w:val="18"/>
                <w:szCs w:val="18"/>
              </w:rPr>
            </w:pPr>
            <w:r>
              <w:rPr>
                <w:rFonts w:hint="eastAsia"/>
                <w:sz w:val="18"/>
                <w:szCs w:val="18"/>
              </w:rPr>
              <w:t>N19,5</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退货商品法定数量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法定计量单位</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unit1</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C3</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退货商品法定计量单位,海关参数代码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法定第二数量</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qty2</w:t>
            </w:r>
          </w:p>
        </w:tc>
        <w:tc>
          <w:tcPr>
            <w:tcW w:w="842" w:type="dxa"/>
            <w:tcBorders>
              <w:tl2br w:val="nil"/>
              <w:tr2bl w:val="nil"/>
            </w:tcBorders>
            <w:noWrap w:val="0"/>
            <w:vAlign w:val="center"/>
          </w:tcPr>
          <w:p>
            <w:pPr>
              <w:jc w:val="center"/>
              <w:rPr>
                <w:rFonts w:hint="eastAsia"/>
                <w:sz w:val="18"/>
                <w:szCs w:val="18"/>
              </w:rPr>
            </w:pPr>
            <w:r>
              <w:rPr>
                <w:rFonts w:hint="eastAsia"/>
                <w:sz w:val="18"/>
                <w:szCs w:val="18"/>
              </w:rPr>
              <w:t>N19,5</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退货商品第二数量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法定第二计量单位</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unit2</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C3</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退货商品第二计量单位,海关参数代码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消费者国别</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country</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C3</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退货商品消费者国别</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单价</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price</w:t>
            </w:r>
          </w:p>
        </w:tc>
        <w:tc>
          <w:tcPr>
            <w:tcW w:w="842" w:type="dxa"/>
            <w:tcBorders>
              <w:tl2br w:val="nil"/>
              <w:tr2bl w:val="nil"/>
            </w:tcBorders>
            <w:noWrap w:val="0"/>
            <w:vAlign w:val="center"/>
          </w:tcPr>
          <w:p>
            <w:pPr>
              <w:jc w:val="center"/>
              <w:rPr>
                <w:rFonts w:hint="eastAsia"/>
                <w:sz w:val="18"/>
                <w:szCs w:val="18"/>
              </w:rPr>
            </w:pPr>
            <w:r>
              <w:rPr>
                <w:rFonts w:hint="eastAsia"/>
                <w:sz w:val="18"/>
                <w:szCs w:val="18"/>
              </w:rPr>
              <w:t>N19,5</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退货商品单价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币制</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currency</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C3</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退货商品币制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总价</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totalPrice</w:t>
            </w:r>
          </w:p>
        </w:tc>
        <w:tc>
          <w:tcPr>
            <w:tcW w:w="842" w:type="dxa"/>
            <w:tcBorders>
              <w:tl2br w:val="nil"/>
              <w:tr2bl w:val="nil"/>
            </w:tcBorders>
            <w:noWrap w:val="0"/>
            <w:vAlign w:val="center"/>
          </w:tcPr>
          <w:p>
            <w:pPr>
              <w:jc w:val="center"/>
              <w:rPr>
                <w:rFonts w:hint="eastAsia"/>
                <w:sz w:val="18"/>
                <w:szCs w:val="18"/>
              </w:rPr>
            </w:pPr>
            <w:r>
              <w:rPr>
                <w:rFonts w:hint="eastAsia"/>
                <w:sz w:val="18"/>
                <w:szCs w:val="18"/>
              </w:rPr>
              <w:t>N19,5</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退货商品总价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电商店铺商品链接</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glink</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C..500</w:t>
            </w:r>
          </w:p>
        </w:tc>
        <w:tc>
          <w:tcPr>
            <w:tcW w:w="750" w:type="dxa"/>
            <w:tcBorders>
              <w:tl2br w:val="nil"/>
              <w:tr2bl w:val="nil"/>
            </w:tcBorders>
            <w:noWrap w:val="0"/>
            <w:vAlign w:val="center"/>
          </w:tcPr>
          <w:p>
            <w:pPr>
              <w:jc w:val="center"/>
              <w:rPr>
                <w:rFonts w:hint="eastAsia"/>
                <w:sz w:val="18"/>
                <w:szCs w:val="18"/>
              </w:rPr>
            </w:pPr>
            <w:r>
              <w:rPr>
                <w:rFonts w:hint="eastAsia"/>
                <w:sz w:val="18"/>
                <w:szCs w:val="18"/>
              </w:rPr>
              <w:t>否</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对应原订单电商店铺商品链接</w:t>
            </w:r>
          </w:p>
        </w:tc>
      </w:tr>
    </w:tbl>
    <w:p>
      <w:pPr>
        <w:pStyle w:val="25"/>
        <w:keepNext w:val="0"/>
        <w:keepLines w:val="0"/>
        <w:pageBreakBefore w:val="0"/>
        <w:widowControl/>
        <w:numPr>
          <w:ilvl w:val="-1"/>
          <w:numId w:val="0"/>
        </w:numPr>
        <w:tabs>
          <w:tab w:val="left" w:pos="0"/>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eastAsia="黑体"/>
          <w:lang w:val="en-US" w:eastAsia="zh-CN"/>
        </w:rPr>
      </w:pPr>
      <w:r>
        <w:rPr>
          <w:rFonts w:hint="eastAsia" w:ascii="黑体" w:eastAsia="黑体"/>
          <w:lang w:val="en-US" w:eastAsia="zh-CN"/>
        </w:rPr>
        <w:t>B.1.4  基础报文传输实体节点</w:t>
      </w:r>
    </w:p>
    <w:p>
      <w:pPr>
        <w:pStyle w:val="25"/>
        <w:numPr>
          <w:ilvl w:val="-1"/>
          <w:numId w:val="0"/>
        </w:numPr>
        <w:tabs>
          <w:tab w:val="left" w:pos="0"/>
        </w:tabs>
        <w:ind w:left="0" w:leftChars="0" w:firstLine="420" w:firstLineChars="200"/>
        <w:jc w:val="both"/>
        <w:rPr>
          <w:rFonts w:hint="eastAsia"/>
          <w:lang w:val="en-US" w:eastAsia="zh-CN"/>
        </w:rPr>
      </w:pPr>
      <w:r>
        <w:rPr>
          <w:rFonts w:hint="eastAsia"/>
          <w:lang w:val="en-US" w:eastAsia="zh-CN"/>
        </w:rPr>
        <w:t>基础报文传输实体节点见表B.4。</w:t>
      </w:r>
    </w:p>
    <w:p>
      <w:pPr>
        <w:pStyle w:val="5"/>
        <w:numPr>
          <w:ilvl w:val="255"/>
          <w:numId w:val="0"/>
        </w:numPr>
        <w:tabs>
          <w:tab w:val="left" w:pos="0"/>
        </w:tabs>
        <w:spacing w:before="156" w:after="156"/>
        <w:rPr>
          <w:rFonts w:hint="eastAsia" w:ascii="黑体" w:hAnsi="黑体" w:cs="黑体"/>
          <w:bCs w:val="0"/>
          <w:szCs w:val="21"/>
          <w:lang w:val="en-US" w:eastAsia="zh-CN"/>
        </w:rPr>
      </w:pPr>
      <w:r>
        <w:rPr>
          <w:rFonts w:hint="eastAsia" w:ascii="黑体" w:hAnsi="黑体" w:cs="黑体"/>
          <w:bCs w:val="0"/>
          <w:szCs w:val="21"/>
          <w:lang w:val="en-US" w:eastAsia="zh-CN"/>
        </w:rPr>
        <w:t>表B.4  基础报文传输实体节点</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14"/>
        <w:gridCol w:w="992"/>
        <w:gridCol w:w="1016"/>
        <w:gridCol w:w="623"/>
        <w:gridCol w:w="457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14"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中文名称</w:t>
            </w:r>
          </w:p>
        </w:tc>
        <w:tc>
          <w:tcPr>
            <w:tcW w:w="992"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英文名称</w:t>
            </w:r>
          </w:p>
        </w:tc>
        <w:tc>
          <w:tcPr>
            <w:tcW w:w="1016"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数据格式</w:t>
            </w:r>
          </w:p>
        </w:tc>
        <w:tc>
          <w:tcPr>
            <w:tcW w:w="623"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必填</w:t>
            </w:r>
          </w:p>
        </w:tc>
        <w:tc>
          <w:tcPr>
            <w:tcW w:w="4576"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14"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传输企业代码</w:t>
            </w:r>
          </w:p>
        </w:tc>
        <w:tc>
          <w:tcPr>
            <w:tcW w:w="992"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copCode</w:t>
            </w:r>
          </w:p>
        </w:tc>
        <w:tc>
          <w:tcPr>
            <w:tcW w:w="1016"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C..18</w:t>
            </w:r>
          </w:p>
        </w:tc>
        <w:tc>
          <w:tcPr>
            <w:tcW w:w="623"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4576" w:type="dxa"/>
            <w:tcBorders>
              <w:top w:val="single" w:color="000000" w:sz="12" w:space="0"/>
              <w:tl2br w:val="nil"/>
              <w:tr2bl w:val="nil"/>
            </w:tcBorders>
            <w:noWrap w:val="0"/>
            <w:vAlign w:val="center"/>
          </w:tcPr>
          <w:p>
            <w:pPr>
              <w:pStyle w:val="47"/>
              <w:jc w:val="both"/>
              <w:rPr>
                <w:rFonts w:hint="eastAsia" w:ascii="宋体" w:hAnsi="宋体" w:eastAsia="宋体" w:cs="宋体"/>
                <w:sz w:val="18"/>
                <w:szCs w:val="18"/>
              </w:rPr>
            </w:pPr>
            <w:r>
              <w:rPr>
                <w:rFonts w:hint="eastAsia" w:ascii="宋体" w:hAnsi="宋体" w:eastAsia="宋体" w:cs="宋体"/>
                <w:sz w:val="18"/>
                <w:szCs w:val="18"/>
              </w:rPr>
              <w:t>报文传输的企业代码（需要与接入客户端的企业身份一致）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14"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传输企业名称</w:t>
            </w:r>
          </w:p>
        </w:tc>
        <w:tc>
          <w:tcPr>
            <w:tcW w:w="99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copName</w:t>
            </w:r>
          </w:p>
        </w:tc>
        <w:tc>
          <w:tcPr>
            <w:tcW w:w="101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C..100</w:t>
            </w:r>
          </w:p>
        </w:tc>
        <w:tc>
          <w:tcPr>
            <w:tcW w:w="62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457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报文传输的企业名称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14"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报文传输模式</w:t>
            </w:r>
          </w:p>
        </w:tc>
        <w:tc>
          <w:tcPr>
            <w:tcW w:w="99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dxpMode</w:t>
            </w:r>
          </w:p>
        </w:tc>
        <w:tc>
          <w:tcPr>
            <w:tcW w:w="101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w:t>
            </w:r>
          </w:p>
        </w:tc>
        <w:tc>
          <w:tcPr>
            <w:tcW w:w="62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457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默认为DXP；指中国电子口岸数据交换平台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14"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报文传输编号</w:t>
            </w:r>
          </w:p>
        </w:tc>
        <w:tc>
          <w:tcPr>
            <w:tcW w:w="99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dxpId</w:t>
            </w:r>
          </w:p>
        </w:tc>
        <w:tc>
          <w:tcPr>
            <w:tcW w:w="101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C..30</w:t>
            </w:r>
          </w:p>
        </w:tc>
        <w:tc>
          <w:tcPr>
            <w:tcW w:w="62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4576" w:type="dxa"/>
            <w:tcBorders>
              <w:tl2br w:val="nil"/>
              <w:tr2bl w:val="nil"/>
            </w:tcBorders>
            <w:noWrap w:val="0"/>
            <w:vAlign w:val="center"/>
          </w:tcPr>
          <w:p>
            <w:pPr>
              <w:pStyle w:val="47"/>
              <w:jc w:val="both"/>
              <w:rPr>
                <w:rFonts w:hint="eastAsia" w:ascii="宋体" w:hAnsi="宋体" w:eastAsia="宋体" w:cs="宋体"/>
                <w:sz w:val="18"/>
                <w:szCs w:val="18"/>
              </w:rPr>
            </w:pPr>
            <w:r>
              <w:rPr>
                <w:rFonts w:hint="eastAsia" w:ascii="宋体" w:hAnsi="宋体" w:eastAsia="宋体" w:cs="宋体"/>
                <w:sz w:val="18"/>
                <w:szCs w:val="18"/>
              </w:rPr>
              <w:t>向中国电子口岸数据中心申请数据交换平台的用户编号</w:t>
            </w:r>
          </w:p>
        </w:tc>
      </w:tr>
    </w:tbl>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eastAsia" w:ascii="黑体" w:hAnsi="黑体" w:eastAsia="黑体" w:cs="黑体"/>
          <w:szCs w:val="21"/>
        </w:rPr>
      </w:pPr>
      <w:bookmarkStart w:id="151" w:name="_Toc10849"/>
      <w:r>
        <w:rPr>
          <w:rFonts w:hint="eastAsia" w:ascii="黑体" w:hAnsi="黑体" w:eastAsia="黑体" w:cs="黑体"/>
          <w:szCs w:val="21"/>
          <w:lang w:val="en-US" w:eastAsia="zh-CN"/>
        </w:rPr>
        <w:t>B.</w:t>
      </w:r>
      <w:r>
        <w:rPr>
          <w:rFonts w:hint="eastAsia" w:hAnsi="黑体" w:cs="黑体"/>
          <w:szCs w:val="21"/>
          <w:lang w:val="en-US" w:eastAsia="zh-CN"/>
        </w:rPr>
        <w:t xml:space="preserve">2  </w:t>
      </w:r>
      <w:r>
        <w:rPr>
          <w:rFonts w:hint="eastAsia" w:ascii="黑体" w:hAnsi="黑体" w:eastAsia="黑体" w:cs="黑体"/>
          <w:szCs w:val="21"/>
        </w:rPr>
        <w:t>退货订单回执报文【DEN214】</w:t>
      </w:r>
      <w:bookmarkEnd w:id="151"/>
    </w:p>
    <w:p>
      <w:pPr>
        <w:pStyle w:val="25"/>
        <w:keepNext w:val="0"/>
        <w:keepLines w:val="0"/>
        <w:pageBreakBefore w:val="0"/>
        <w:widowControl/>
        <w:numPr>
          <w:ilvl w:val="-1"/>
          <w:numId w:val="0"/>
        </w:numPr>
        <w:tabs>
          <w:tab w:val="left" w:pos="0"/>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eastAsia="黑体"/>
          <w:lang w:val="en-US" w:eastAsia="zh-CN"/>
        </w:rPr>
      </w:pPr>
      <w:r>
        <w:rPr>
          <w:rFonts w:hint="eastAsia" w:ascii="黑体" w:eastAsia="黑体"/>
          <w:lang w:val="en-US" w:eastAsia="zh-CN"/>
        </w:rPr>
        <w:t xml:space="preserve">B.2.1  </w:t>
      </w:r>
      <w:r>
        <w:rPr>
          <w:rFonts w:hint="eastAsia" w:ascii="黑体" w:eastAsia="黑体"/>
          <w:lang w:val="en-US"/>
        </w:rPr>
        <w:t>退货订单回执报文结构</w:t>
      </w:r>
    </w:p>
    <w:p>
      <w:pPr>
        <w:bidi w:val="0"/>
        <w:ind w:firstLine="420" w:firstLineChars="200"/>
        <w:rPr>
          <w:rFonts w:hint="default"/>
          <w:lang w:val="en-US" w:eastAsia="zh-CN"/>
        </w:rPr>
      </w:pPr>
      <w:r>
        <w:rPr>
          <w:rFonts w:hint="eastAsia"/>
          <w:lang w:val="en-US"/>
        </w:rPr>
        <w:t>退货订单</w:t>
      </w:r>
      <w:r>
        <w:rPr>
          <w:rFonts w:hint="eastAsia"/>
          <w:lang w:val="en-US" w:eastAsia="zh-CN"/>
        </w:rPr>
        <w:t>回执</w:t>
      </w:r>
      <w:r>
        <w:rPr>
          <w:rFonts w:hint="eastAsia"/>
        </w:rPr>
        <w:t>报文</w:t>
      </w:r>
      <w:r>
        <w:rPr>
          <w:rFonts w:hint="eastAsia"/>
          <w:lang w:val="en-US" w:eastAsia="zh-CN"/>
        </w:rPr>
        <w:t>结构见图B.2。</w:t>
      </w:r>
    </w:p>
    <w:p>
      <w:pPr>
        <w:pStyle w:val="25"/>
        <w:numPr>
          <w:ilvl w:val="-1"/>
          <w:numId w:val="0"/>
        </w:numPr>
        <w:tabs>
          <w:tab w:val="left" w:pos="0"/>
        </w:tabs>
        <w:ind w:left="0" w:leftChars="0" w:firstLine="0" w:firstLineChars="0"/>
        <w:jc w:val="center"/>
        <w:rPr>
          <w:rFonts w:hint="eastAsia"/>
        </w:rPr>
      </w:pPr>
      <w:r>
        <w:rPr>
          <w:rFonts w:hint="eastAsia"/>
        </w:rPr>
        <w:drawing>
          <wp:inline distT="0" distB="0" distL="114300" distR="114300">
            <wp:extent cx="3833495" cy="2256155"/>
            <wp:effectExtent l="0" t="0" r="14605" b="10795"/>
            <wp:docPr id="9" name="图片 7" descr="DEN214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DEN214Message"/>
                    <pic:cNvPicPr>
                      <a:picLocks noChangeAspect="1"/>
                    </pic:cNvPicPr>
                  </pic:nvPicPr>
                  <pic:blipFill>
                    <a:blip r:embed="rId24"/>
                    <a:stretch>
                      <a:fillRect/>
                    </a:stretch>
                  </pic:blipFill>
                  <pic:spPr>
                    <a:xfrm>
                      <a:off x="0" y="0"/>
                      <a:ext cx="3833495" cy="2256155"/>
                    </a:xfrm>
                    <a:prstGeom prst="rect">
                      <a:avLst/>
                    </a:prstGeom>
                    <a:noFill/>
                    <a:ln>
                      <a:noFill/>
                    </a:ln>
                  </pic:spPr>
                </pic:pic>
              </a:graphicData>
            </a:graphic>
          </wp:inline>
        </w:drawing>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图B.2  退货订单回执报文结构</w:t>
      </w:r>
    </w:p>
    <w:p>
      <w:pPr>
        <w:pStyle w:val="25"/>
        <w:keepNext w:val="0"/>
        <w:keepLines w:val="0"/>
        <w:pageBreakBefore w:val="0"/>
        <w:widowControl/>
        <w:numPr>
          <w:ilvl w:val="-1"/>
          <w:numId w:val="0"/>
        </w:numPr>
        <w:tabs>
          <w:tab w:val="left" w:pos="0"/>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default" w:ascii="黑体" w:eastAsia="黑体"/>
          <w:lang w:val="en-US" w:eastAsia="zh-CN"/>
        </w:rPr>
      </w:pPr>
      <w:r>
        <w:rPr>
          <w:rFonts w:hint="eastAsia" w:ascii="黑体" w:eastAsia="黑体"/>
          <w:lang w:val="en-US" w:eastAsia="zh-CN"/>
        </w:rPr>
        <w:t>B.2</w:t>
      </w:r>
      <w:r>
        <w:rPr>
          <w:rFonts w:hint="default" w:ascii="黑体" w:eastAsia="黑体"/>
          <w:lang w:val="en-US" w:eastAsia="zh-CN"/>
        </w:rPr>
        <w:t>.2</w:t>
      </w:r>
      <w:r>
        <w:rPr>
          <w:rFonts w:hint="eastAsia" w:ascii="黑体" w:eastAsia="黑体"/>
          <w:lang w:val="en-US" w:eastAsia="zh-CN"/>
        </w:rPr>
        <w:t xml:space="preserve">  </w:t>
      </w:r>
      <w:r>
        <w:rPr>
          <w:rFonts w:hint="default" w:ascii="黑体" w:eastAsia="黑体"/>
          <w:lang w:val="en-US" w:eastAsia="zh-CN"/>
        </w:rPr>
        <w:t>退货订单回执报文根节点</w:t>
      </w:r>
    </w:p>
    <w:p>
      <w:pPr>
        <w:pStyle w:val="25"/>
        <w:numPr>
          <w:ilvl w:val="-1"/>
          <w:numId w:val="0"/>
        </w:numPr>
        <w:tabs>
          <w:tab w:val="left" w:pos="0"/>
        </w:tabs>
        <w:ind w:left="0" w:leftChars="0" w:firstLine="420" w:firstLineChars="200"/>
        <w:jc w:val="both"/>
        <w:rPr>
          <w:rFonts w:hint="default"/>
          <w:lang w:val="en-US" w:eastAsia="zh-CN"/>
        </w:rPr>
      </w:pPr>
      <w:r>
        <w:rPr>
          <w:rFonts w:hint="default"/>
          <w:lang w:val="en-US" w:eastAsia="zh-CN"/>
        </w:rPr>
        <w:t>DEN214Message 为退货订单回执报文 XML 根节点名称，包括 guid 和 version 两个属性，</w:t>
      </w:r>
      <w:r>
        <w:rPr>
          <w:rFonts w:hint="eastAsia"/>
          <w:lang w:val="en-US" w:eastAsia="zh-CN"/>
        </w:rPr>
        <w:t>见</w:t>
      </w:r>
      <w:r>
        <w:rPr>
          <w:rFonts w:hint="default"/>
          <w:lang w:val="en-US" w:eastAsia="zh-CN"/>
        </w:rPr>
        <w:t>表</w:t>
      </w:r>
      <w:r>
        <w:rPr>
          <w:rFonts w:hint="eastAsia"/>
          <w:lang w:val="en-US" w:eastAsia="zh-CN"/>
        </w:rPr>
        <w:t>B.5</w:t>
      </w:r>
      <w:r>
        <w:rPr>
          <w:rFonts w:hint="default"/>
          <w:lang w:val="en-US" w:eastAsia="zh-CN"/>
        </w:rPr>
        <w:t>。</w:t>
      </w:r>
    </w:p>
    <w:p>
      <w:pPr>
        <w:pStyle w:val="5"/>
        <w:numPr>
          <w:ilvl w:val="255"/>
          <w:numId w:val="0"/>
        </w:numPr>
        <w:tabs>
          <w:tab w:val="left" w:pos="0"/>
        </w:tabs>
        <w:spacing w:before="156" w:after="156"/>
        <w:rPr>
          <w:rFonts w:hint="eastAsia" w:ascii="黑体" w:hAnsi="黑体" w:cs="黑体"/>
          <w:bCs w:val="0"/>
          <w:szCs w:val="21"/>
          <w:lang w:val="en-US" w:eastAsia="zh-CN"/>
        </w:rPr>
      </w:pPr>
      <w:r>
        <w:rPr>
          <w:rFonts w:hint="eastAsia" w:ascii="黑体" w:hAnsi="黑体" w:cs="黑体"/>
          <w:bCs w:val="0"/>
          <w:szCs w:val="21"/>
          <w:lang w:val="en-US" w:eastAsia="zh-CN"/>
        </w:rPr>
        <w:t>表B.5  DEN214Message节点的属性</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23"/>
        <w:gridCol w:w="1123"/>
        <w:gridCol w:w="900"/>
        <w:gridCol w:w="677"/>
        <w:gridCol w:w="46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23" w:type="dxa"/>
            <w:tcBorders>
              <w:bottom w:val="single" w:color="000000" w:sz="12" w:space="0"/>
            </w:tcBorders>
            <w:noWrap w:val="0"/>
            <w:vAlign w:val="top"/>
          </w:tcPr>
          <w:p>
            <w:pPr>
              <w:jc w:val="center"/>
              <w:rPr>
                <w:sz w:val="18"/>
                <w:szCs w:val="18"/>
              </w:rPr>
            </w:pPr>
            <w:r>
              <w:rPr>
                <w:sz w:val="18"/>
                <w:szCs w:val="18"/>
              </w:rPr>
              <w:t>名称</w:t>
            </w:r>
          </w:p>
        </w:tc>
        <w:tc>
          <w:tcPr>
            <w:tcW w:w="1123" w:type="dxa"/>
            <w:tcBorders>
              <w:bottom w:val="single" w:color="000000" w:sz="12" w:space="0"/>
            </w:tcBorders>
            <w:noWrap w:val="0"/>
            <w:vAlign w:val="top"/>
          </w:tcPr>
          <w:p>
            <w:pPr>
              <w:jc w:val="center"/>
              <w:rPr>
                <w:sz w:val="18"/>
                <w:szCs w:val="18"/>
              </w:rPr>
            </w:pPr>
            <w:r>
              <w:rPr>
                <w:sz w:val="18"/>
                <w:szCs w:val="18"/>
              </w:rPr>
              <w:t>英文名称</w:t>
            </w:r>
          </w:p>
        </w:tc>
        <w:tc>
          <w:tcPr>
            <w:tcW w:w="900" w:type="dxa"/>
            <w:tcBorders>
              <w:bottom w:val="single" w:color="000000" w:sz="12" w:space="0"/>
            </w:tcBorders>
            <w:noWrap w:val="0"/>
            <w:vAlign w:val="top"/>
          </w:tcPr>
          <w:p>
            <w:pPr>
              <w:jc w:val="center"/>
              <w:rPr>
                <w:sz w:val="18"/>
                <w:szCs w:val="18"/>
              </w:rPr>
            </w:pPr>
            <w:r>
              <w:rPr>
                <w:sz w:val="18"/>
                <w:szCs w:val="18"/>
              </w:rPr>
              <w:t>类型</w:t>
            </w:r>
          </w:p>
        </w:tc>
        <w:tc>
          <w:tcPr>
            <w:tcW w:w="677" w:type="dxa"/>
            <w:tcBorders>
              <w:bottom w:val="single" w:color="000000" w:sz="12" w:space="0"/>
            </w:tcBorders>
            <w:noWrap w:val="0"/>
            <w:vAlign w:val="top"/>
          </w:tcPr>
          <w:p>
            <w:pPr>
              <w:jc w:val="center"/>
              <w:rPr>
                <w:sz w:val="18"/>
                <w:szCs w:val="18"/>
              </w:rPr>
            </w:pPr>
            <w:r>
              <w:rPr>
                <w:sz w:val="18"/>
                <w:szCs w:val="18"/>
              </w:rPr>
              <w:t>必填</w:t>
            </w:r>
          </w:p>
        </w:tc>
        <w:tc>
          <w:tcPr>
            <w:tcW w:w="4698" w:type="dxa"/>
            <w:tcBorders>
              <w:bottom w:val="single" w:color="000000" w:sz="12" w:space="0"/>
            </w:tcBorders>
            <w:noWrap w:val="0"/>
            <w:vAlign w:val="top"/>
          </w:tcPr>
          <w:p>
            <w:pPr>
              <w:jc w:val="center"/>
              <w:rPr>
                <w:sz w:val="18"/>
                <w:szCs w:val="18"/>
              </w:rPr>
            </w:pPr>
            <w:r>
              <w:rPr>
                <w:sz w:val="18"/>
                <w:szCs w:val="18"/>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23" w:type="dxa"/>
            <w:tcBorders>
              <w:top w:val="single" w:color="000000" w:sz="12" w:space="0"/>
              <w:tl2br w:val="nil"/>
              <w:tr2bl w:val="nil"/>
            </w:tcBorders>
            <w:noWrap w:val="0"/>
            <w:vAlign w:val="top"/>
          </w:tcPr>
          <w:p>
            <w:pPr>
              <w:jc w:val="center"/>
              <w:rPr>
                <w:sz w:val="18"/>
                <w:szCs w:val="18"/>
              </w:rPr>
            </w:pPr>
            <w:r>
              <w:rPr>
                <w:sz w:val="18"/>
                <w:szCs w:val="18"/>
              </w:rPr>
              <w:t>报文编号</w:t>
            </w:r>
          </w:p>
        </w:tc>
        <w:tc>
          <w:tcPr>
            <w:tcW w:w="1123" w:type="dxa"/>
            <w:tcBorders>
              <w:top w:val="single" w:color="000000" w:sz="12" w:space="0"/>
              <w:tl2br w:val="nil"/>
              <w:tr2bl w:val="nil"/>
            </w:tcBorders>
            <w:noWrap w:val="0"/>
            <w:vAlign w:val="top"/>
          </w:tcPr>
          <w:p>
            <w:pPr>
              <w:jc w:val="center"/>
              <w:rPr>
                <w:sz w:val="18"/>
                <w:szCs w:val="18"/>
              </w:rPr>
            </w:pPr>
            <w:r>
              <w:rPr>
                <w:sz w:val="18"/>
                <w:szCs w:val="18"/>
              </w:rPr>
              <w:t>guid</w:t>
            </w:r>
          </w:p>
        </w:tc>
        <w:tc>
          <w:tcPr>
            <w:tcW w:w="900" w:type="dxa"/>
            <w:tcBorders>
              <w:top w:val="single" w:color="000000" w:sz="12" w:space="0"/>
              <w:tl2br w:val="nil"/>
              <w:tr2bl w:val="nil"/>
            </w:tcBorders>
            <w:noWrap w:val="0"/>
            <w:vAlign w:val="top"/>
          </w:tcPr>
          <w:p>
            <w:pPr>
              <w:jc w:val="center"/>
              <w:rPr>
                <w:sz w:val="18"/>
                <w:szCs w:val="18"/>
              </w:rPr>
            </w:pPr>
            <w:r>
              <w:rPr>
                <w:sz w:val="18"/>
                <w:szCs w:val="18"/>
              </w:rPr>
              <w:t>an36</w:t>
            </w:r>
          </w:p>
        </w:tc>
        <w:tc>
          <w:tcPr>
            <w:tcW w:w="677" w:type="dxa"/>
            <w:tcBorders>
              <w:top w:val="single" w:color="000000" w:sz="12" w:space="0"/>
              <w:tl2br w:val="nil"/>
              <w:tr2bl w:val="nil"/>
            </w:tcBorders>
            <w:noWrap w:val="0"/>
            <w:vAlign w:val="top"/>
          </w:tcPr>
          <w:p>
            <w:pPr>
              <w:jc w:val="center"/>
              <w:rPr>
                <w:sz w:val="18"/>
                <w:szCs w:val="18"/>
              </w:rPr>
            </w:pPr>
            <w:r>
              <w:rPr>
                <w:sz w:val="18"/>
                <w:szCs w:val="18"/>
              </w:rPr>
              <w:t>是</w:t>
            </w:r>
          </w:p>
        </w:tc>
        <w:tc>
          <w:tcPr>
            <w:tcW w:w="4698" w:type="dxa"/>
            <w:tcBorders>
              <w:top w:val="single" w:color="000000" w:sz="12" w:space="0"/>
              <w:tl2br w:val="nil"/>
              <w:tr2bl w:val="nil"/>
            </w:tcBorders>
            <w:noWrap w:val="0"/>
            <w:vAlign w:val="top"/>
          </w:tcPr>
          <w:p>
            <w:pPr>
              <w:jc w:val="center"/>
              <w:rPr>
                <w:sz w:val="18"/>
                <w:szCs w:val="18"/>
              </w:rPr>
            </w:pPr>
            <w:r>
              <w:rPr>
                <w:sz w:val="18"/>
                <w:szCs w:val="18"/>
              </w:rPr>
              <w:t>报文的36位系统唯一序号（英文字母大写）。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23" w:type="dxa"/>
            <w:tcBorders>
              <w:tl2br w:val="nil"/>
              <w:tr2bl w:val="nil"/>
            </w:tcBorders>
            <w:noWrap w:val="0"/>
            <w:vAlign w:val="top"/>
          </w:tcPr>
          <w:p>
            <w:pPr>
              <w:jc w:val="center"/>
              <w:rPr>
                <w:sz w:val="18"/>
                <w:szCs w:val="18"/>
              </w:rPr>
            </w:pPr>
            <w:r>
              <w:rPr>
                <w:sz w:val="18"/>
                <w:szCs w:val="18"/>
              </w:rPr>
              <w:t>版本号</w:t>
            </w:r>
          </w:p>
        </w:tc>
        <w:tc>
          <w:tcPr>
            <w:tcW w:w="1123" w:type="dxa"/>
            <w:tcBorders>
              <w:tl2br w:val="nil"/>
              <w:tr2bl w:val="nil"/>
            </w:tcBorders>
            <w:noWrap w:val="0"/>
            <w:vAlign w:val="top"/>
          </w:tcPr>
          <w:p>
            <w:pPr>
              <w:jc w:val="center"/>
              <w:rPr>
                <w:sz w:val="18"/>
                <w:szCs w:val="18"/>
              </w:rPr>
            </w:pPr>
            <w:r>
              <w:rPr>
                <w:sz w:val="18"/>
                <w:szCs w:val="18"/>
              </w:rPr>
              <w:t>version</w:t>
            </w:r>
          </w:p>
        </w:tc>
        <w:tc>
          <w:tcPr>
            <w:tcW w:w="900" w:type="dxa"/>
            <w:tcBorders>
              <w:tl2br w:val="nil"/>
              <w:tr2bl w:val="nil"/>
            </w:tcBorders>
            <w:noWrap w:val="0"/>
            <w:vAlign w:val="top"/>
          </w:tcPr>
          <w:p>
            <w:pPr>
              <w:jc w:val="center"/>
              <w:rPr>
                <w:sz w:val="18"/>
                <w:szCs w:val="18"/>
              </w:rPr>
            </w:pPr>
            <w:r>
              <w:rPr>
                <w:sz w:val="18"/>
                <w:szCs w:val="18"/>
              </w:rPr>
              <w:t>an..10</w:t>
            </w:r>
          </w:p>
        </w:tc>
        <w:tc>
          <w:tcPr>
            <w:tcW w:w="677" w:type="dxa"/>
            <w:tcBorders>
              <w:tl2br w:val="nil"/>
              <w:tr2bl w:val="nil"/>
            </w:tcBorders>
            <w:noWrap w:val="0"/>
            <w:vAlign w:val="top"/>
          </w:tcPr>
          <w:p>
            <w:pPr>
              <w:jc w:val="center"/>
              <w:rPr>
                <w:sz w:val="18"/>
                <w:szCs w:val="18"/>
              </w:rPr>
            </w:pPr>
            <w:r>
              <w:rPr>
                <w:sz w:val="18"/>
                <w:szCs w:val="18"/>
              </w:rPr>
              <w:t>是</w:t>
            </w:r>
          </w:p>
        </w:tc>
        <w:tc>
          <w:tcPr>
            <w:tcW w:w="4698" w:type="dxa"/>
            <w:tcBorders>
              <w:tl2br w:val="nil"/>
              <w:tr2bl w:val="nil"/>
            </w:tcBorders>
            <w:noWrap w:val="0"/>
            <w:vAlign w:val="top"/>
          </w:tcPr>
          <w:p>
            <w:pPr>
              <w:jc w:val="center"/>
              <w:rPr>
                <w:sz w:val="18"/>
                <w:szCs w:val="18"/>
              </w:rPr>
            </w:pPr>
            <w:r>
              <w:rPr>
                <w:sz w:val="18"/>
                <w:szCs w:val="18"/>
              </w:rPr>
              <w:t>报文版本号，默认为1.0</w:t>
            </w:r>
          </w:p>
        </w:tc>
      </w:tr>
    </w:tbl>
    <w:p>
      <w:pPr>
        <w:pStyle w:val="25"/>
        <w:keepNext w:val="0"/>
        <w:keepLines w:val="0"/>
        <w:pageBreakBefore w:val="0"/>
        <w:widowControl/>
        <w:numPr>
          <w:ilvl w:val="-1"/>
          <w:numId w:val="0"/>
        </w:numPr>
        <w:tabs>
          <w:tab w:val="left" w:pos="0"/>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eastAsia="黑体"/>
          <w:lang w:val="en-US" w:eastAsia="zh-CN"/>
        </w:rPr>
      </w:pPr>
      <w:r>
        <w:rPr>
          <w:rFonts w:hint="eastAsia" w:ascii="黑体" w:eastAsia="黑体"/>
          <w:lang w:val="en-US" w:eastAsia="zh-CN"/>
        </w:rPr>
        <w:t>B.2.3  退货订单回执报文描述</w:t>
      </w:r>
    </w:p>
    <w:p>
      <w:pPr>
        <w:bidi w:val="0"/>
        <w:ind w:firstLine="420" w:firstLineChars="200"/>
        <w:rPr>
          <w:rFonts w:hint="default"/>
          <w:lang w:val="en-US" w:eastAsia="zh-CN"/>
        </w:rPr>
      </w:pPr>
      <w:r>
        <w:rPr>
          <w:rFonts w:hint="default"/>
          <w:lang w:val="en-US" w:eastAsia="zh-CN"/>
        </w:rPr>
        <w:t>退货订单回执报文描述</w:t>
      </w:r>
      <w:r>
        <w:rPr>
          <w:rFonts w:hint="eastAsia"/>
          <w:lang w:val="en-US" w:eastAsia="zh-CN"/>
        </w:rPr>
        <w:t>见表B.6。</w:t>
      </w:r>
    </w:p>
    <w:p>
      <w:pPr>
        <w:pStyle w:val="5"/>
        <w:numPr>
          <w:ilvl w:val="255"/>
          <w:numId w:val="0"/>
        </w:numPr>
        <w:tabs>
          <w:tab w:val="left" w:pos="0"/>
        </w:tabs>
        <w:spacing w:before="156" w:after="156"/>
        <w:rPr>
          <w:rFonts w:hint="eastAsia" w:ascii="黑体" w:hAnsi="黑体" w:cs="黑体"/>
          <w:bCs w:val="0"/>
          <w:szCs w:val="21"/>
          <w:lang w:val="en-US" w:eastAsia="zh-CN"/>
        </w:rPr>
      </w:pPr>
      <w:r>
        <w:rPr>
          <w:rFonts w:hint="eastAsia" w:ascii="黑体" w:hAnsi="黑体" w:cs="黑体"/>
          <w:bCs w:val="0"/>
          <w:szCs w:val="21"/>
          <w:lang w:val="en-US" w:eastAsia="zh-CN"/>
        </w:rPr>
        <w:t>表B.6  退货订单回执报文描述</w:t>
      </w:r>
    </w:p>
    <w:tbl>
      <w:tblPr>
        <w:tblStyle w:val="17"/>
        <w:tblW w:w="85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7"/>
        <w:gridCol w:w="1373"/>
        <w:gridCol w:w="992"/>
        <w:gridCol w:w="727"/>
        <w:gridCol w:w="39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87" w:type="dxa"/>
            <w:tcBorders>
              <w:top w:val="single" w:color="000000" w:sz="12" w:space="0"/>
              <w:left w:val="single" w:color="000000" w:sz="12" w:space="0"/>
              <w:bottom w:val="single" w:color="000000" w:sz="12" w:space="0"/>
            </w:tcBorders>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中文名称</w:t>
            </w:r>
          </w:p>
        </w:tc>
        <w:tc>
          <w:tcPr>
            <w:tcW w:w="1373" w:type="dxa"/>
            <w:tcBorders>
              <w:top w:val="single" w:color="000000" w:sz="12" w:space="0"/>
              <w:bottom w:val="single" w:color="000000" w:sz="12" w:space="0"/>
            </w:tcBorders>
            <w:noWrap w:val="0"/>
            <w:vAlign w:val="center"/>
          </w:tcPr>
          <w:p>
            <w:pPr>
              <w:pStyle w:val="60"/>
              <w:spacing w:before="20"/>
              <w:ind w:left="108"/>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英文名称</w:t>
            </w:r>
          </w:p>
        </w:tc>
        <w:tc>
          <w:tcPr>
            <w:tcW w:w="992" w:type="dxa"/>
            <w:tcBorders>
              <w:top w:val="single" w:color="000000" w:sz="12" w:space="0"/>
              <w:bottom w:val="single" w:color="000000" w:sz="12" w:space="0"/>
            </w:tcBorders>
            <w:noWrap w:val="0"/>
            <w:vAlign w:val="center"/>
          </w:tcPr>
          <w:p>
            <w:pPr>
              <w:pStyle w:val="60"/>
              <w:spacing w:before="20"/>
              <w:ind w:left="108"/>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数据格式</w:t>
            </w:r>
          </w:p>
        </w:tc>
        <w:tc>
          <w:tcPr>
            <w:tcW w:w="727" w:type="dxa"/>
            <w:tcBorders>
              <w:top w:val="single" w:color="000000" w:sz="12" w:space="0"/>
              <w:bottom w:val="single" w:color="000000" w:sz="12" w:space="0"/>
            </w:tcBorders>
            <w:noWrap w:val="0"/>
            <w:vAlign w:val="center"/>
          </w:tcPr>
          <w:p>
            <w:pPr>
              <w:pStyle w:val="60"/>
              <w:spacing w:before="20"/>
              <w:ind w:left="108"/>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必填</w:t>
            </w:r>
          </w:p>
        </w:tc>
        <w:tc>
          <w:tcPr>
            <w:tcW w:w="3942" w:type="dxa"/>
            <w:tcBorders>
              <w:top w:val="single" w:color="000000" w:sz="12" w:space="0"/>
              <w:bottom w:val="single" w:color="000000" w:sz="12" w:space="0"/>
              <w:right w:val="single" w:color="000000" w:sz="12" w:space="0"/>
            </w:tcBorders>
            <w:noWrap w:val="0"/>
            <w:vAlign w:val="center"/>
          </w:tcPr>
          <w:p>
            <w:pPr>
              <w:pStyle w:val="60"/>
              <w:spacing w:before="20"/>
              <w:ind w:left="108"/>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87" w:type="dxa"/>
            <w:tcBorders>
              <w:top w:val="single" w:color="000000" w:sz="12" w:space="0"/>
              <w:left w:val="single" w:color="000000" w:sz="12" w:space="0"/>
            </w:tcBorders>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系统唯一序号</w:t>
            </w:r>
          </w:p>
        </w:tc>
        <w:tc>
          <w:tcPr>
            <w:tcW w:w="1373" w:type="dxa"/>
            <w:tcBorders>
              <w:top w:val="single" w:color="000000" w:sz="12" w:space="0"/>
            </w:tcBorders>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guid</w:t>
            </w:r>
          </w:p>
        </w:tc>
        <w:tc>
          <w:tcPr>
            <w:tcW w:w="992" w:type="dxa"/>
            <w:tcBorders>
              <w:top w:val="single" w:color="000000" w:sz="12" w:space="0"/>
            </w:tcBorders>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C36</w:t>
            </w:r>
          </w:p>
        </w:tc>
        <w:tc>
          <w:tcPr>
            <w:tcW w:w="727" w:type="dxa"/>
            <w:tcBorders>
              <w:top w:val="single" w:color="000000" w:sz="12" w:space="0"/>
            </w:tcBorders>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是</w:t>
            </w:r>
          </w:p>
        </w:tc>
        <w:tc>
          <w:tcPr>
            <w:tcW w:w="3942" w:type="dxa"/>
            <w:tcBorders>
              <w:top w:val="single" w:color="000000" w:sz="12" w:space="0"/>
              <w:right w:val="single" w:color="000000" w:sz="12" w:space="0"/>
            </w:tcBorders>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系统生成36位唯一序号（英文字母大写）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87" w:type="dxa"/>
            <w:tcBorders>
              <w:left w:val="single" w:color="000000" w:sz="12" w:space="0"/>
            </w:tcBorders>
            <w:noWrap w:val="0"/>
            <w:vAlign w:val="center"/>
          </w:tcPr>
          <w:p>
            <w:pPr>
              <w:pStyle w:val="60"/>
              <w:spacing w:before="20"/>
              <w:jc w:val="center"/>
              <w:rPr>
                <w:rFonts w:ascii="宋体" w:hAnsi="宋体" w:eastAsia="宋体" w:cstheme="minorBidi"/>
                <w:kern w:val="2"/>
                <w:sz w:val="18"/>
                <w:szCs w:val="18"/>
                <w:lang w:val="en-US" w:eastAsia="zh-CN" w:bidi="ar-SA"/>
              </w:rPr>
            </w:pPr>
            <w:r>
              <w:rPr>
                <w:rFonts w:hint="eastAsia" w:ascii="宋体" w:hAnsi="宋体" w:eastAsia="宋体" w:cstheme="minorBidi"/>
                <w:kern w:val="2"/>
                <w:sz w:val="18"/>
                <w:szCs w:val="18"/>
                <w:lang w:val="en-US" w:eastAsia="zh-CN" w:bidi="ar-SA"/>
              </w:rPr>
              <w:t>电商平台编码</w:t>
            </w:r>
          </w:p>
        </w:tc>
        <w:tc>
          <w:tcPr>
            <w:tcW w:w="1373" w:type="dxa"/>
            <w:noWrap w:val="0"/>
            <w:vAlign w:val="center"/>
          </w:tcPr>
          <w:p>
            <w:pPr>
              <w:pStyle w:val="60"/>
              <w:spacing w:before="20"/>
              <w:jc w:val="center"/>
              <w:rPr>
                <w:rFonts w:ascii="宋体" w:hAnsi="宋体" w:eastAsia="宋体" w:cstheme="minorBidi"/>
                <w:kern w:val="2"/>
                <w:sz w:val="18"/>
                <w:szCs w:val="18"/>
                <w:lang w:val="en-US" w:eastAsia="zh-CN" w:bidi="ar-SA"/>
              </w:rPr>
            </w:pPr>
            <w:r>
              <w:rPr>
                <w:rFonts w:hint="eastAsia" w:ascii="宋体" w:hAnsi="宋体" w:eastAsia="宋体" w:cstheme="minorBidi"/>
                <w:kern w:val="2"/>
                <w:sz w:val="18"/>
                <w:szCs w:val="18"/>
                <w:lang w:val="en-US" w:eastAsia="zh-CN" w:bidi="ar-SA"/>
              </w:rPr>
              <w:t>ebpCode</w:t>
            </w:r>
          </w:p>
        </w:tc>
        <w:tc>
          <w:tcPr>
            <w:tcW w:w="992" w:type="dxa"/>
            <w:noWrap w:val="0"/>
            <w:vAlign w:val="center"/>
          </w:tcPr>
          <w:p>
            <w:pPr>
              <w:pStyle w:val="60"/>
              <w:spacing w:before="20"/>
              <w:jc w:val="center"/>
              <w:rPr>
                <w:rFonts w:ascii="宋体" w:hAnsi="宋体" w:eastAsia="宋体" w:cstheme="minorBidi"/>
                <w:kern w:val="2"/>
                <w:sz w:val="18"/>
                <w:szCs w:val="18"/>
                <w:lang w:val="en-US" w:eastAsia="zh-CN" w:bidi="ar-SA"/>
              </w:rPr>
            </w:pPr>
            <w:r>
              <w:rPr>
                <w:rFonts w:hint="eastAsia" w:ascii="宋体" w:hAnsi="宋体" w:eastAsia="宋体" w:cstheme="minorBidi"/>
                <w:kern w:val="2"/>
                <w:sz w:val="18"/>
                <w:szCs w:val="18"/>
                <w:lang w:val="en-US" w:eastAsia="zh-CN" w:bidi="ar-SA"/>
              </w:rPr>
              <w:t>C..50</w:t>
            </w:r>
          </w:p>
        </w:tc>
        <w:tc>
          <w:tcPr>
            <w:tcW w:w="727" w:type="dxa"/>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是</w:t>
            </w:r>
          </w:p>
        </w:tc>
        <w:tc>
          <w:tcPr>
            <w:tcW w:w="3942" w:type="dxa"/>
            <w:tcBorders>
              <w:right w:val="single" w:color="000000" w:sz="12" w:space="0"/>
            </w:tcBorders>
            <w:noWrap w:val="0"/>
            <w:vAlign w:val="center"/>
          </w:tcPr>
          <w:p>
            <w:pPr>
              <w:pStyle w:val="60"/>
              <w:spacing w:before="20"/>
              <w:jc w:val="both"/>
              <w:rPr>
                <w:rFonts w:ascii="宋体" w:hAnsi="宋体" w:eastAsia="宋体" w:cstheme="minorBidi"/>
                <w:kern w:val="2"/>
                <w:sz w:val="18"/>
                <w:szCs w:val="18"/>
                <w:lang w:val="en-US" w:eastAsia="zh-CN" w:bidi="ar-SA"/>
              </w:rPr>
            </w:pPr>
            <w:r>
              <w:rPr>
                <w:rFonts w:hint="eastAsia" w:ascii="宋体" w:hAnsi="宋体" w:eastAsia="宋体" w:cstheme="minorBidi"/>
                <w:kern w:val="2"/>
                <w:sz w:val="18"/>
                <w:szCs w:val="18"/>
                <w:lang w:val="en-US" w:eastAsia="zh-CN" w:bidi="ar-SA"/>
              </w:rPr>
              <w:t>电商平台的海关注册登记编号或统一社会信用代码，与原订单电商平台企业一致。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87" w:type="dxa"/>
            <w:tcBorders>
              <w:left w:val="single" w:color="000000" w:sz="12" w:space="0"/>
            </w:tcBorders>
            <w:noWrap w:val="0"/>
            <w:vAlign w:val="center"/>
          </w:tcPr>
          <w:p>
            <w:pPr>
              <w:pStyle w:val="60"/>
              <w:spacing w:before="20"/>
              <w:jc w:val="center"/>
              <w:rPr>
                <w:rFonts w:hint="eastAsia" w:ascii="宋体" w:hAnsi="宋体" w:eastAsia="宋体" w:cstheme="minorBidi"/>
                <w:kern w:val="2"/>
                <w:sz w:val="18"/>
                <w:szCs w:val="18"/>
                <w:lang w:val="en-US" w:eastAsia="zh-CN" w:bidi="ar-SA"/>
              </w:rPr>
            </w:pPr>
            <w:r>
              <w:rPr>
                <w:rFonts w:hint="eastAsia" w:ascii="宋体" w:hAnsi="宋体" w:eastAsia="宋体" w:cstheme="minorBidi"/>
                <w:kern w:val="2"/>
                <w:sz w:val="18"/>
                <w:szCs w:val="18"/>
                <w:lang w:val="en-US" w:eastAsia="zh-CN" w:bidi="ar-SA"/>
              </w:rPr>
              <w:t>电商企业编号</w:t>
            </w:r>
          </w:p>
        </w:tc>
        <w:tc>
          <w:tcPr>
            <w:tcW w:w="1373" w:type="dxa"/>
            <w:noWrap w:val="0"/>
            <w:vAlign w:val="center"/>
          </w:tcPr>
          <w:p>
            <w:pPr>
              <w:pStyle w:val="60"/>
              <w:spacing w:before="20"/>
              <w:jc w:val="center"/>
              <w:rPr>
                <w:rFonts w:hint="eastAsia" w:ascii="宋体" w:hAnsi="宋体" w:eastAsia="宋体" w:cstheme="minorBidi"/>
                <w:kern w:val="2"/>
                <w:sz w:val="18"/>
                <w:szCs w:val="18"/>
                <w:lang w:val="en-US" w:eastAsia="zh-CN" w:bidi="ar-SA"/>
              </w:rPr>
            </w:pPr>
            <w:r>
              <w:rPr>
                <w:rFonts w:hint="eastAsia" w:ascii="宋体" w:hAnsi="宋体" w:eastAsia="宋体" w:cstheme="minorBidi"/>
                <w:kern w:val="2"/>
                <w:sz w:val="18"/>
                <w:szCs w:val="18"/>
                <w:lang w:val="en-US" w:eastAsia="zh-CN" w:bidi="ar-SA"/>
              </w:rPr>
              <w:t>ebcCode</w:t>
            </w:r>
          </w:p>
        </w:tc>
        <w:tc>
          <w:tcPr>
            <w:tcW w:w="992" w:type="dxa"/>
            <w:noWrap w:val="0"/>
            <w:vAlign w:val="center"/>
          </w:tcPr>
          <w:p>
            <w:pPr>
              <w:pStyle w:val="60"/>
              <w:spacing w:before="20"/>
              <w:jc w:val="center"/>
              <w:rPr>
                <w:rFonts w:hint="eastAsia" w:ascii="宋体" w:hAnsi="宋体" w:eastAsia="宋体" w:cstheme="minorBidi"/>
                <w:kern w:val="2"/>
                <w:sz w:val="18"/>
                <w:szCs w:val="18"/>
                <w:lang w:val="en-US" w:eastAsia="zh-CN" w:bidi="ar-SA"/>
              </w:rPr>
            </w:pPr>
            <w:r>
              <w:rPr>
                <w:rFonts w:hint="eastAsia" w:ascii="宋体" w:hAnsi="宋体" w:eastAsia="宋体" w:cstheme="minorBidi"/>
                <w:kern w:val="2"/>
                <w:sz w:val="18"/>
                <w:szCs w:val="18"/>
                <w:lang w:val="en-US" w:eastAsia="zh-CN" w:bidi="ar-SA"/>
              </w:rPr>
              <w:t>C..18</w:t>
            </w:r>
          </w:p>
        </w:tc>
        <w:tc>
          <w:tcPr>
            <w:tcW w:w="727" w:type="dxa"/>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是</w:t>
            </w:r>
          </w:p>
        </w:tc>
        <w:tc>
          <w:tcPr>
            <w:tcW w:w="3942" w:type="dxa"/>
            <w:tcBorders>
              <w:right w:val="single" w:color="000000" w:sz="12" w:space="0"/>
            </w:tcBorders>
            <w:noWrap w:val="0"/>
            <w:vAlign w:val="center"/>
          </w:tcPr>
          <w:p>
            <w:pPr>
              <w:pStyle w:val="60"/>
              <w:spacing w:before="20"/>
              <w:jc w:val="both"/>
              <w:rPr>
                <w:rFonts w:hint="eastAsia" w:ascii="宋体" w:hAnsi="宋体" w:eastAsia="宋体" w:cstheme="minorBidi"/>
                <w:kern w:val="2"/>
                <w:sz w:val="18"/>
                <w:szCs w:val="18"/>
                <w:lang w:val="en-US" w:eastAsia="zh-CN" w:bidi="ar-SA"/>
              </w:rPr>
            </w:pPr>
            <w:r>
              <w:rPr>
                <w:rFonts w:hint="eastAsia" w:ascii="宋体" w:hAnsi="宋体" w:eastAsia="宋体" w:cstheme="minorBidi"/>
                <w:kern w:val="2"/>
                <w:sz w:val="18"/>
                <w:szCs w:val="18"/>
                <w:lang w:val="en-US" w:eastAsia="zh-CN" w:bidi="ar-SA"/>
              </w:rPr>
              <w:t>收发货人（电商企业）的海关注册登记编号或统一社会信用代码，与原订单电商企业一致。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87" w:type="dxa"/>
            <w:tcBorders>
              <w:left w:val="single" w:color="000000" w:sz="12" w:space="0"/>
            </w:tcBorders>
            <w:noWrap w:val="0"/>
            <w:vAlign w:val="center"/>
          </w:tcPr>
          <w:p>
            <w:pPr>
              <w:pStyle w:val="60"/>
              <w:spacing w:before="20"/>
              <w:jc w:val="center"/>
              <w:rPr>
                <w:rFonts w:hint="eastAsia" w:ascii="宋体" w:hAnsi="宋体" w:eastAsia="宋体" w:cstheme="minorBidi"/>
                <w:kern w:val="2"/>
                <w:sz w:val="18"/>
                <w:szCs w:val="18"/>
                <w:lang w:val="en-US" w:eastAsia="zh-CN" w:bidi="ar-SA"/>
              </w:rPr>
            </w:pPr>
            <w:r>
              <w:rPr>
                <w:rFonts w:hint="eastAsia" w:ascii="宋体" w:hAnsi="宋体" w:eastAsia="宋体" w:cstheme="minorBidi"/>
                <w:kern w:val="2"/>
                <w:sz w:val="18"/>
                <w:szCs w:val="18"/>
                <w:lang w:val="en-US" w:eastAsia="zh-CN" w:bidi="ar-SA"/>
              </w:rPr>
              <w:t>订单编号</w:t>
            </w:r>
          </w:p>
        </w:tc>
        <w:tc>
          <w:tcPr>
            <w:tcW w:w="1373" w:type="dxa"/>
            <w:noWrap w:val="0"/>
            <w:vAlign w:val="center"/>
          </w:tcPr>
          <w:p>
            <w:pPr>
              <w:pStyle w:val="60"/>
              <w:spacing w:before="20"/>
              <w:jc w:val="center"/>
              <w:rPr>
                <w:rFonts w:hint="eastAsia" w:ascii="宋体" w:hAnsi="宋体" w:eastAsia="宋体" w:cstheme="minorBidi"/>
                <w:kern w:val="2"/>
                <w:sz w:val="18"/>
                <w:szCs w:val="18"/>
                <w:lang w:val="en-US" w:eastAsia="zh-CN" w:bidi="ar-SA"/>
              </w:rPr>
            </w:pPr>
            <w:r>
              <w:rPr>
                <w:rFonts w:hint="eastAsia" w:ascii="宋体" w:hAnsi="宋体" w:eastAsia="宋体" w:cstheme="minorBidi"/>
                <w:kern w:val="2"/>
                <w:sz w:val="18"/>
                <w:szCs w:val="18"/>
                <w:lang w:val="en-US" w:eastAsia="zh-CN" w:bidi="ar-SA"/>
              </w:rPr>
              <w:t>orderNo</w:t>
            </w:r>
          </w:p>
        </w:tc>
        <w:tc>
          <w:tcPr>
            <w:tcW w:w="992" w:type="dxa"/>
            <w:noWrap w:val="0"/>
            <w:vAlign w:val="center"/>
          </w:tcPr>
          <w:p>
            <w:pPr>
              <w:pStyle w:val="60"/>
              <w:spacing w:before="20"/>
              <w:jc w:val="center"/>
              <w:rPr>
                <w:rFonts w:hint="eastAsia" w:ascii="宋体" w:hAnsi="宋体" w:eastAsia="宋体" w:cstheme="minorBidi"/>
                <w:kern w:val="2"/>
                <w:sz w:val="18"/>
                <w:szCs w:val="18"/>
                <w:lang w:val="en-US" w:eastAsia="zh-CN" w:bidi="ar-SA"/>
              </w:rPr>
            </w:pPr>
            <w:r>
              <w:rPr>
                <w:rFonts w:hint="eastAsia" w:ascii="宋体" w:hAnsi="宋体" w:eastAsia="宋体" w:cstheme="minorBidi"/>
                <w:kern w:val="2"/>
                <w:sz w:val="18"/>
                <w:szCs w:val="18"/>
                <w:lang w:val="en-US" w:eastAsia="zh-CN" w:bidi="ar-SA"/>
              </w:rPr>
              <w:t>C..60</w:t>
            </w:r>
          </w:p>
        </w:tc>
        <w:tc>
          <w:tcPr>
            <w:tcW w:w="727" w:type="dxa"/>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是</w:t>
            </w:r>
          </w:p>
        </w:tc>
        <w:tc>
          <w:tcPr>
            <w:tcW w:w="3942" w:type="dxa"/>
            <w:tcBorders>
              <w:right w:val="single" w:color="000000" w:sz="12" w:space="0"/>
            </w:tcBorders>
            <w:noWrap w:val="0"/>
            <w:vAlign w:val="center"/>
          </w:tcPr>
          <w:p>
            <w:pPr>
              <w:pStyle w:val="60"/>
              <w:spacing w:before="20"/>
              <w:jc w:val="both"/>
              <w:rPr>
                <w:rFonts w:hint="eastAsia" w:ascii="宋体" w:hAnsi="宋体" w:eastAsia="宋体" w:cstheme="minorBidi"/>
                <w:kern w:val="2"/>
                <w:sz w:val="18"/>
                <w:szCs w:val="18"/>
                <w:lang w:val="en-US" w:eastAsia="zh-CN" w:bidi="ar-SA"/>
              </w:rPr>
            </w:pPr>
            <w:r>
              <w:rPr>
                <w:rFonts w:hint="eastAsia" w:ascii="宋体" w:hAnsi="宋体" w:eastAsia="宋体" w:cstheme="minorBidi"/>
                <w:kern w:val="2"/>
                <w:sz w:val="18"/>
                <w:szCs w:val="18"/>
                <w:lang w:val="en-US" w:eastAsia="zh-CN" w:bidi="ar-SA"/>
              </w:rPr>
              <w:t>原交易订单编号-交易平台的订单编号，同一交易平台的订单编号应唯一。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87" w:type="dxa"/>
            <w:tcBorders>
              <w:left w:val="single" w:color="000000" w:sz="12" w:space="0"/>
            </w:tcBorders>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回执状态</w:t>
            </w:r>
          </w:p>
        </w:tc>
        <w:tc>
          <w:tcPr>
            <w:tcW w:w="1373" w:type="dxa"/>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returnStatus</w:t>
            </w:r>
          </w:p>
        </w:tc>
        <w:tc>
          <w:tcPr>
            <w:tcW w:w="992" w:type="dxa"/>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C1..10</w:t>
            </w:r>
          </w:p>
        </w:tc>
        <w:tc>
          <w:tcPr>
            <w:tcW w:w="727" w:type="dxa"/>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是</w:t>
            </w:r>
          </w:p>
        </w:tc>
        <w:tc>
          <w:tcPr>
            <w:tcW w:w="3942" w:type="dxa"/>
            <w:tcBorders>
              <w:right w:val="single" w:color="000000" w:sz="12" w:space="0"/>
            </w:tcBorders>
            <w:noWrap w:val="0"/>
            <w:vAlign w:val="center"/>
          </w:tcPr>
          <w:p>
            <w:pPr>
              <w:pStyle w:val="60"/>
              <w:spacing w:before="20"/>
              <w:jc w:val="both"/>
              <w:rPr>
                <w:rFonts w:ascii="宋体" w:hAnsi="宋体" w:eastAsia="宋体" w:cstheme="minorBidi"/>
                <w:kern w:val="2"/>
                <w:sz w:val="18"/>
                <w:szCs w:val="18"/>
                <w:lang w:val="en-US" w:eastAsia="zh-CN" w:bidi="ar-SA"/>
              </w:rPr>
            </w:pPr>
            <w:r>
              <w:rPr>
                <w:rFonts w:hint="eastAsia" w:ascii="宋体" w:hAnsi="宋体" w:eastAsia="宋体" w:cstheme="minorBidi"/>
                <w:kern w:val="2"/>
                <w:sz w:val="18"/>
                <w:szCs w:val="18"/>
                <w:lang w:val="en-US" w:eastAsia="zh-CN" w:bidi="ar-SA"/>
              </w:rPr>
              <w:t>操作结果（120-待审核/399-审核通过/100-退单/699-销毁/700-退运/-800放行）,若小于0数字表示处理异常回执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87" w:type="dxa"/>
            <w:tcBorders>
              <w:left w:val="single" w:color="000000" w:sz="12" w:space="0"/>
            </w:tcBorders>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回执时间</w:t>
            </w:r>
          </w:p>
        </w:tc>
        <w:tc>
          <w:tcPr>
            <w:tcW w:w="1373" w:type="dxa"/>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returnTime</w:t>
            </w:r>
          </w:p>
        </w:tc>
        <w:tc>
          <w:tcPr>
            <w:tcW w:w="992" w:type="dxa"/>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C17</w:t>
            </w:r>
          </w:p>
        </w:tc>
        <w:tc>
          <w:tcPr>
            <w:tcW w:w="727" w:type="dxa"/>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是</w:t>
            </w:r>
          </w:p>
        </w:tc>
        <w:tc>
          <w:tcPr>
            <w:tcW w:w="3942" w:type="dxa"/>
            <w:tcBorders>
              <w:right w:val="single" w:color="000000" w:sz="12" w:space="0"/>
            </w:tcBorders>
            <w:noWrap w:val="0"/>
            <w:vAlign w:val="center"/>
          </w:tcPr>
          <w:p>
            <w:pPr>
              <w:pStyle w:val="60"/>
              <w:spacing w:before="20"/>
              <w:jc w:val="center"/>
              <w:rPr>
                <w:rFonts w:ascii="宋体" w:hAnsi="宋体" w:eastAsia="宋体" w:cstheme="minorBidi"/>
                <w:kern w:val="2"/>
                <w:sz w:val="18"/>
                <w:szCs w:val="18"/>
                <w:lang w:val="en-US" w:eastAsia="zh-CN" w:bidi="ar-SA"/>
              </w:rPr>
            </w:pPr>
            <w:r>
              <w:rPr>
                <w:rFonts w:hint="eastAsia" w:ascii="宋体" w:hAnsi="宋体" w:eastAsia="宋体" w:cstheme="minorBidi"/>
                <w:kern w:val="2"/>
                <w:sz w:val="18"/>
                <w:szCs w:val="18"/>
                <w:lang w:val="en-US" w:eastAsia="zh-CN" w:bidi="ar-SA"/>
              </w:rPr>
              <w:t>操作时间(格式:YYYYMMDDhhmmssSSS)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87" w:type="dxa"/>
            <w:tcBorders>
              <w:left w:val="single" w:color="000000" w:sz="12" w:space="0"/>
              <w:bottom w:val="single" w:color="000000" w:sz="12" w:space="0"/>
            </w:tcBorders>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回执信息</w:t>
            </w:r>
          </w:p>
        </w:tc>
        <w:tc>
          <w:tcPr>
            <w:tcW w:w="1373" w:type="dxa"/>
            <w:tcBorders>
              <w:bottom w:val="single" w:color="000000" w:sz="12" w:space="0"/>
            </w:tcBorders>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returnInfo</w:t>
            </w:r>
          </w:p>
        </w:tc>
        <w:tc>
          <w:tcPr>
            <w:tcW w:w="992" w:type="dxa"/>
            <w:tcBorders>
              <w:bottom w:val="single" w:color="000000" w:sz="12" w:space="0"/>
            </w:tcBorders>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C..1000</w:t>
            </w:r>
          </w:p>
        </w:tc>
        <w:tc>
          <w:tcPr>
            <w:tcW w:w="727" w:type="dxa"/>
            <w:tcBorders>
              <w:bottom w:val="single" w:color="000000" w:sz="12" w:space="0"/>
            </w:tcBorders>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是</w:t>
            </w:r>
          </w:p>
        </w:tc>
        <w:tc>
          <w:tcPr>
            <w:tcW w:w="3942" w:type="dxa"/>
            <w:tcBorders>
              <w:bottom w:val="single" w:color="000000" w:sz="12" w:space="0"/>
              <w:right w:val="single" w:color="000000" w:sz="12" w:space="0"/>
            </w:tcBorders>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备注（如:退单原因）</w:t>
            </w:r>
          </w:p>
        </w:tc>
      </w:tr>
    </w:tbl>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157" w:beforeLines="50" w:after="157" w:afterLines="50"/>
        <w:ind w:leftChars="0"/>
        <w:jc w:val="both"/>
        <w:textAlignment w:val="auto"/>
        <w:outlineLvl w:val="1"/>
        <w:rPr>
          <w:rFonts w:hint="eastAsia" w:ascii="黑体" w:hAnsi="黑体" w:eastAsia="黑体" w:cs="黑体"/>
          <w:sz w:val="21"/>
          <w:szCs w:val="21"/>
          <w:lang w:val="en-US" w:eastAsia="zh-CN" w:bidi="ar-SA"/>
        </w:rPr>
      </w:pPr>
      <w:bookmarkStart w:id="152" w:name="_Toc7899"/>
      <w:bookmarkStart w:id="153" w:name="_Toc80263638"/>
      <w:bookmarkStart w:id="154" w:name="_Toc26677"/>
      <w:r>
        <w:rPr>
          <w:rFonts w:hint="eastAsia" w:ascii="黑体" w:hAnsi="黑体" w:eastAsia="黑体" w:cs="黑体"/>
          <w:sz w:val="21"/>
          <w:szCs w:val="21"/>
          <w:lang w:val="en-US" w:eastAsia="zh-CN" w:bidi="ar-SA"/>
        </w:rPr>
        <w:t>B.3  退货理货明细申报报文</w:t>
      </w:r>
      <w:bookmarkEnd w:id="152"/>
      <w:r>
        <w:rPr>
          <w:rFonts w:hint="eastAsia" w:ascii="黑体" w:hAnsi="黑体" w:eastAsia="黑体" w:cs="黑体"/>
          <w:sz w:val="21"/>
          <w:szCs w:val="21"/>
          <w:lang w:val="en-US" w:eastAsia="zh-CN" w:bidi="ar-SA"/>
        </w:rPr>
        <w:t>【DEN215】</w:t>
      </w:r>
      <w:bookmarkEnd w:id="153"/>
      <w:bookmarkEnd w:id="154"/>
    </w:p>
    <w:p>
      <w:pPr>
        <w:keepNext w:val="0"/>
        <w:keepLines w:val="0"/>
        <w:pageBreakBefore w:val="0"/>
        <w:widowControl/>
        <w:numPr>
          <w:ilvl w:val="-1"/>
          <w:numId w:val="0"/>
        </w:numPr>
        <w:tabs>
          <w:tab w:val="left" w:pos="0"/>
          <w:tab w:val="center" w:pos="4201"/>
          <w:tab w:val="right" w:leader="dot" w:pos="9298"/>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hAnsi="Times New Roman" w:eastAsia="黑体" w:cs="Times New Roman"/>
          <w:sz w:val="21"/>
          <w:szCs w:val="22"/>
          <w:lang w:val="en-US" w:eastAsia="zh-CN" w:bidi="ar-SA"/>
        </w:rPr>
      </w:pPr>
      <w:bookmarkStart w:id="155" w:name="_bookmark5"/>
      <w:bookmarkEnd w:id="155"/>
      <w:bookmarkStart w:id="156" w:name="2.1.1订单报文结构"/>
      <w:bookmarkEnd w:id="156"/>
      <w:bookmarkStart w:id="157" w:name="_Toc80263639"/>
      <w:r>
        <w:rPr>
          <w:rFonts w:hint="eastAsia" w:ascii="黑体" w:hAnsi="Times New Roman" w:eastAsia="黑体" w:cs="Times New Roman"/>
          <w:sz w:val="21"/>
          <w:szCs w:val="22"/>
          <w:lang w:val="en-US" w:eastAsia="zh-CN" w:bidi="ar-SA"/>
        </w:rPr>
        <w:t>B.3.1  退货理货明细报文结构</w:t>
      </w:r>
      <w:bookmarkEnd w:id="157"/>
    </w:p>
    <w:p>
      <w:pPr>
        <w:autoSpaceDE/>
        <w:autoSpaceDN/>
        <w:bidi w:val="0"/>
        <w:ind w:firstLine="420" w:firstLineChars="200"/>
        <w:jc w:val="both"/>
        <w:rPr>
          <w:rFonts w:hint="default"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bidi="ar-SA"/>
        </w:rPr>
        <w:t>退货理货明细报文</w:t>
      </w:r>
      <w:r>
        <w:rPr>
          <w:rFonts w:hint="eastAsia" w:ascii="宋体" w:hAnsi="宋体" w:eastAsia="宋体" w:cs="Times New Roman"/>
          <w:kern w:val="2"/>
          <w:sz w:val="21"/>
          <w:szCs w:val="24"/>
          <w:lang w:val="en-US" w:eastAsia="zh-CN" w:bidi="ar-SA"/>
        </w:rPr>
        <w:t>结构见图B.3。</w:t>
      </w:r>
    </w:p>
    <w:p>
      <w:pPr>
        <w:widowControl w:val="0"/>
        <w:autoSpaceDE w:val="0"/>
        <w:autoSpaceDN w:val="0"/>
        <w:spacing w:before="9"/>
        <w:jc w:val="center"/>
        <w:rPr>
          <w:rFonts w:ascii="宋体" w:hAnsi="宋体" w:eastAsia="宋体" w:cs="宋体"/>
          <w:sz w:val="24"/>
          <w:szCs w:val="24"/>
          <w:lang w:val="zh-CN" w:eastAsia="zh-CN" w:bidi="zh-CN"/>
        </w:rPr>
      </w:pPr>
      <w:r>
        <w:rPr>
          <w:rFonts w:ascii="宋体" w:hAnsi="宋体" w:eastAsia="宋体" w:cs="宋体"/>
          <w:sz w:val="24"/>
          <w:szCs w:val="24"/>
          <w:lang w:val="zh-CN" w:eastAsia="zh-CN" w:bidi="zh-CN"/>
        </w:rPr>
        <w:drawing>
          <wp:inline distT="0" distB="0" distL="114300" distR="114300">
            <wp:extent cx="4821555" cy="2163445"/>
            <wp:effectExtent l="0" t="0" r="17145" b="825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5"/>
                    <a:stretch>
                      <a:fillRect/>
                    </a:stretch>
                  </pic:blipFill>
                  <pic:spPr>
                    <a:xfrm>
                      <a:off x="0" y="0"/>
                      <a:ext cx="4821555" cy="2163445"/>
                    </a:xfrm>
                    <a:prstGeom prst="rect">
                      <a:avLst/>
                    </a:prstGeom>
                    <a:noFill/>
                    <a:ln>
                      <a:noFill/>
                    </a:ln>
                  </pic:spPr>
                </pic:pic>
              </a:graphicData>
            </a:graphic>
          </wp:inline>
        </w:drawing>
      </w:r>
    </w:p>
    <w:p>
      <w:pPr>
        <w:keepNext/>
        <w:keepLines/>
        <w:widowControl w:val="0"/>
        <w:numPr>
          <w:ilvl w:val="255"/>
          <w:numId w:val="0"/>
        </w:numPr>
        <w:tabs>
          <w:tab w:val="left" w:pos="0"/>
        </w:tabs>
        <w:autoSpaceDE w:val="0"/>
        <w:autoSpaceDN w:val="0"/>
        <w:spacing w:before="156" w:beforeLines="50" w:after="156" w:afterLines="50"/>
        <w:ind w:left="0" w:firstLine="0"/>
        <w:jc w:val="center"/>
        <w:outlineLvl w:val="2"/>
        <w:rPr>
          <w:rFonts w:cs="宋体"/>
          <w:kern w:val="0"/>
          <w:sz w:val="22"/>
          <w:szCs w:val="22"/>
          <w:lang w:val="zh-CN" w:bidi="zh-CN"/>
        </w:rPr>
      </w:pPr>
      <w:r>
        <w:rPr>
          <w:rFonts w:hint="eastAsia" w:ascii="黑体" w:hAnsi="黑体" w:eastAsia="黑体" w:cs="黑体"/>
          <w:bCs w:val="0"/>
          <w:kern w:val="2"/>
          <w:sz w:val="21"/>
          <w:szCs w:val="21"/>
          <w:lang w:val="en-US" w:eastAsia="zh-CN" w:bidi="ar-SA"/>
        </w:rPr>
        <w:t>图B.3  退货订单回执报文结构</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157" w:beforeLines="50" w:after="157" w:afterLines="50"/>
        <w:ind w:leftChars="0"/>
        <w:jc w:val="both"/>
        <w:textAlignment w:val="auto"/>
        <w:outlineLvl w:val="1"/>
        <w:rPr>
          <w:rFonts w:hint="eastAsia" w:ascii="黑体" w:hAnsi="黑体" w:eastAsia="黑体" w:cs="黑体"/>
          <w:sz w:val="21"/>
          <w:szCs w:val="21"/>
          <w:lang w:val="en-US" w:eastAsia="zh-CN" w:bidi="ar-SA"/>
        </w:rPr>
      </w:pPr>
      <w:bookmarkStart w:id="158" w:name="_bookmark7"/>
      <w:bookmarkEnd w:id="158"/>
      <w:bookmarkStart w:id="159" w:name="2.1.2订单报文根节点"/>
      <w:bookmarkEnd w:id="159"/>
      <w:bookmarkStart w:id="160" w:name="_Toc80263640"/>
      <w:bookmarkStart w:id="161" w:name="_Toc8771"/>
      <w:r>
        <w:rPr>
          <w:rFonts w:hint="eastAsia" w:ascii="黑体" w:hAnsi="黑体" w:eastAsia="黑体" w:cs="黑体"/>
          <w:sz w:val="21"/>
          <w:szCs w:val="21"/>
          <w:lang w:val="en-US" w:eastAsia="zh-CN" w:bidi="ar-SA"/>
        </w:rPr>
        <w:t>B.3.2  退货理货明细根节点</w:t>
      </w:r>
      <w:bookmarkEnd w:id="160"/>
      <w:bookmarkEnd w:id="161"/>
    </w:p>
    <w:p>
      <w:pPr>
        <w:numPr>
          <w:ilvl w:val="-1"/>
          <w:numId w:val="0"/>
        </w:numPr>
        <w:tabs>
          <w:tab w:val="left" w:pos="0"/>
          <w:tab w:val="center" w:pos="4201"/>
          <w:tab w:val="right" w:leader="dot" w:pos="9298"/>
        </w:tabs>
        <w:autoSpaceDE w:val="0"/>
        <w:autoSpaceDN w:val="0"/>
        <w:ind w:left="0" w:leftChars="0" w:firstLine="420" w:firstLineChars="200"/>
        <w:jc w:val="both"/>
        <w:rPr>
          <w:rFonts w:hint="default" w:ascii="宋体" w:hAnsi="Times New Roman" w:eastAsia="宋体" w:cs="Times New Roman"/>
          <w:sz w:val="21"/>
          <w:szCs w:val="22"/>
          <w:lang w:val="en-US" w:eastAsia="zh-CN" w:bidi="ar-SA"/>
        </w:rPr>
      </w:pPr>
      <w:r>
        <w:rPr>
          <w:rFonts w:hint="eastAsia" w:ascii="宋体" w:hAnsi="Times New Roman" w:eastAsia="宋体" w:cs="Times New Roman"/>
          <w:sz w:val="21"/>
          <w:szCs w:val="22"/>
          <w:lang w:val="en-US" w:eastAsia="zh-CN" w:bidi="ar-SA"/>
        </w:rPr>
        <w:t>DEN215</w:t>
      </w:r>
      <w:r>
        <w:rPr>
          <w:rFonts w:hint="default" w:ascii="宋体" w:hAnsi="Times New Roman" w:eastAsia="宋体" w:cs="Times New Roman"/>
          <w:sz w:val="21"/>
          <w:szCs w:val="22"/>
          <w:lang w:val="en-US" w:eastAsia="zh-CN" w:bidi="ar-SA"/>
        </w:rPr>
        <w:t>Message为订单报文 XML 根节点名称，包括 guid 和 version 两个属性，</w:t>
      </w:r>
      <w:r>
        <w:rPr>
          <w:rFonts w:hint="eastAsia" w:ascii="宋体" w:hAnsi="Times New Roman" w:eastAsia="宋体" w:cs="Times New Roman"/>
          <w:sz w:val="21"/>
          <w:szCs w:val="22"/>
          <w:lang w:val="en-US" w:eastAsia="zh-CN" w:bidi="ar-SA"/>
        </w:rPr>
        <w:t>见</w:t>
      </w:r>
      <w:r>
        <w:rPr>
          <w:rFonts w:hint="default" w:ascii="宋体" w:hAnsi="Times New Roman" w:eastAsia="宋体" w:cs="Times New Roman"/>
          <w:sz w:val="21"/>
          <w:szCs w:val="22"/>
          <w:lang w:val="en-US" w:eastAsia="zh-CN" w:bidi="ar-SA"/>
        </w:rPr>
        <w:t>表</w:t>
      </w:r>
      <w:r>
        <w:rPr>
          <w:rFonts w:hint="eastAsia" w:ascii="宋体" w:hAnsi="Times New Roman" w:eastAsia="宋体" w:cs="Times New Roman"/>
          <w:sz w:val="21"/>
          <w:szCs w:val="22"/>
          <w:lang w:val="en-US" w:eastAsia="zh-CN" w:bidi="ar-SA"/>
        </w:rPr>
        <w:t>B.3</w:t>
      </w:r>
      <w:r>
        <w:rPr>
          <w:rFonts w:hint="default" w:ascii="宋体" w:hAnsi="Times New Roman" w:eastAsia="宋体" w:cs="Times New Roman"/>
          <w:sz w:val="21"/>
          <w:szCs w:val="22"/>
          <w:lang w:val="en-US" w:eastAsia="zh-CN" w:bidi="ar-SA"/>
        </w:rPr>
        <w:t>。</w:t>
      </w:r>
    </w:p>
    <w:p>
      <w:pPr>
        <w:keepNext/>
        <w:keepLines/>
        <w:widowControl w:val="0"/>
        <w:numPr>
          <w:ilvl w:val="255"/>
          <w:numId w:val="0"/>
        </w:numPr>
        <w:tabs>
          <w:tab w:val="left" w:pos="0"/>
        </w:tabs>
        <w:autoSpaceDE/>
        <w:autoSpaceDN/>
        <w:spacing w:before="156" w:beforeLines="50" w:after="156" w:afterLines="50"/>
        <w:ind w:left="0" w:firstLine="0"/>
        <w:jc w:val="center"/>
        <w:outlineLvl w:val="2"/>
        <w:rPr>
          <w:rFonts w:hint="eastAsia" w:ascii="黑体" w:hAnsi="黑体" w:eastAsia="黑体" w:cs="黑体"/>
          <w:bCs w:val="0"/>
          <w:kern w:val="2"/>
          <w:sz w:val="21"/>
          <w:szCs w:val="21"/>
          <w:lang w:val="en-US" w:eastAsia="zh-CN" w:bidi="ar-SA"/>
        </w:rPr>
      </w:pPr>
      <w:bookmarkStart w:id="162" w:name="_bookmark8"/>
      <w:bookmarkEnd w:id="162"/>
      <w:r>
        <w:rPr>
          <w:rFonts w:hint="eastAsia" w:ascii="黑体" w:hAnsi="黑体" w:eastAsia="黑体" w:cs="黑体"/>
          <w:bCs w:val="0"/>
          <w:kern w:val="2"/>
          <w:sz w:val="21"/>
          <w:szCs w:val="21"/>
          <w:lang w:val="en-US" w:eastAsia="zh-CN" w:bidi="ar-SA"/>
        </w:rPr>
        <w:t>表B.7  DEN215Message节点的属性</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23"/>
        <w:gridCol w:w="1123"/>
        <w:gridCol w:w="900"/>
        <w:gridCol w:w="677"/>
        <w:gridCol w:w="46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23" w:type="dxa"/>
            <w:tcBorders>
              <w:bottom w:val="single" w:color="000000" w:sz="12" w:space="0"/>
            </w:tcBorders>
            <w:noWrap w:val="0"/>
            <w:vAlign w:val="center"/>
          </w:tcPr>
          <w:p>
            <w:pPr>
              <w:autoSpaceDE w:val="0"/>
              <w:autoSpaceDN w:val="0"/>
              <w:jc w:val="center"/>
              <w:rPr>
                <w:rFonts w:cs="宋体"/>
                <w:kern w:val="0"/>
                <w:sz w:val="18"/>
                <w:szCs w:val="18"/>
                <w:lang w:val="zh-CN" w:bidi="zh-CN"/>
              </w:rPr>
            </w:pPr>
            <w:r>
              <w:rPr>
                <w:rFonts w:cs="宋体"/>
                <w:kern w:val="0"/>
                <w:sz w:val="18"/>
                <w:szCs w:val="18"/>
                <w:lang w:val="zh-CN" w:bidi="zh-CN"/>
              </w:rPr>
              <w:t>名称</w:t>
            </w:r>
          </w:p>
        </w:tc>
        <w:tc>
          <w:tcPr>
            <w:tcW w:w="1123" w:type="dxa"/>
            <w:tcBorders>
              <w:bottom w:val="single" w:color="000000" w:sz="12" w:space="0"/>
            </w:tcBorders>
            <w:noWrap w:val="0"/>
            <w:vAlign w:val="center"/>
          </w:tcPr>
          <w:p>
            <w:pPr>
              <w:autoSpaceDE w:val="0"/>
              <w:autoSpaceDN w:val="0"/>
              <w:jc w:val="center"/>
              <w:rPr>
                <w:rFonts w:cs="宋体"/>
                <w:kern w:val="0"/>
                <w:sz w:val="18"/>
                <w:szCs w:val="18"/>
                <w:lang w:val="zh-CN" w:bidi="zh-CN"/>
              </w:rPr>
            </w:pPr>
            <w:r>
              <w:rPr>
                <w:rFonts w:cs="宋体"/>
                <w:kern w:val="0"/>
                <w:sz w:val="18"/>
                <w:szCs w:val="18"/>
                <w:lang w:val="zh-CN" w:bidi="zh-CN"/>
              </w:rPr>
              <w:t>英文名称</w:t>
            </w:r>
          </w:p>
        </w:tc>
        <w:tc>
          <w:tcPr>
            <w:tcW w:w="900" w:type="dxa"/>
            <w:tcBorders>
              <w:bottom w:val="single" w:color="000000" w:sz="12" w:space="0"/>
            </w:tcBorders>
            <w:noWrap w:val="0"/>
            <w:vAlign w:val="center"/>
          </w:tcPr>
          <w:p>
            <w:pPr>
              <w:autoSpaceDE w:val="0"/>
              <w:autoSpaceDN w:val="0"/>
              <w:jc w:val="center"/>
              <w:rPr>
                <w:rFonts w:cs="宋体"/>
                <w:kern w:val="0"/>
                <w:sz w:val="18"/>
                <w:szCs w:val="18"/>
                <w:lang w:val="zh-CN" w:bidi="zh-CN"/>
              </w:rPr>
            </w:pPr>
            <w:r>
              <w:rPr>
                <w:rFonts w:cs="宋体"/>
                <w:kern w:val="0"/>
                <w:sz w:val="18"/>
                <w:szCs w:val="18"/>
                <w:lang w:val="zh-CN" w:bidi="zh-CN"/>
              </w:rPr>
              <w:t>类型</w:t>
            </w:r>
          </w:p>
        </w:tc>
        <w:tc>
          <w:tcPr>
            <w:tcW w:w="677" w:type="dxa"/>
            <w:tcBorders>
              <w:bottom w:val="single" w:color="000000" w:sz="12" w:space="0"/>
            </w:tcBorders>
            <w:noWrap w:val="0"/>
            <w:vAlign w:val="center"/>
          </w:tcPr>
          <w:p>
            <w:pPr>
              <w:autoSpaceDE w:val="0"/>
              <w:autoSpaceDN w:val="0"/>
              <w:jc w:val="center"/>
              <w:rPr>
                <w:rFonts w:cs="宋体"/>
                <w:kern w:val="0"/>
                <w:sz w:val="18"/>
                <w:szCs w:val="18"/>
                <w:lang w:val="zh-CN" w:bidi="zh-CN"/>
              </w:rPr>
            </w:pPr>
            <w:r>
              <w:rPr>
                <w:rFonts w:cs="宋体"/>
                <w:kern w:val="0"/>
                <w:sz w:val="18"/>
                <w:szCs w:val="18"/>
                <w:lang w:val="zh-CN" w:bidi="zh-CN"/>
              </w:rPr>
              <w:t>必填</w:t>
            </w:r>
          </w:p>
        </w:tc>
        <w:tc>
          <w:tcPr>
            <w:tcW w:w="4698" w:type="dxa"/>
            <w:tcBorders>
              <w:bottom w:val="single" w:color="000000" w:sz="12" w:space="0"/>
            </w:tcBorders>
            <w:noWrap w:val="0"/>
            <w:vAlign w:val="center"/>
          </w:tcPr>
          <w:p>
            <w:pPr>
              <w:autoSpaceDE w:val="0"/>
              <w:autoSpaceDN w:val="0"/>
              <w:jc w:val="center"/>
              <w:rPr>
                <w:rFonts w:cs="宋体"/>
                <w:kern w:val="0"/>
                <w:sz w:val="18"/>
                <w:szCs w:val="18"/>
                <w:lang w:val="zh-CN" w:bidi="zh-CN"/>
              </w:rPr>
            </w:pPr>
            <w:r>
              <w:rPr>
                <w:rFonts w:cs="宋体"/>
                <w:kern w:val="0"/>
                <w:sz w:val="18"/>
                <w:szCs w:val="18"/>
                <w:lang w:val="zh-CN" w:bidi="zh-CN"/>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23" w:type="dxa"/>
            <w:tcBorders>
              <w:top w:val="single" w:color="000000" w:sz="12" w:space="0"/>
              <w:tl2br w:val="nil"/>
              <w:tr2bl w:val="nil"/>
            </w:tcBorders>
            <w:noWrap w:val="0"/>
            <w:vAlign w:val="center"/>
          </w:tcPr>
          <w:p>
            <w:pPr>
              <w:autoSpaceDE w:val="0"/>
              <w:autoSpaceDN w:val="0"/>
              <w:jc w:val="center"/>
              <w:rPr>
                <w:rFonts w:cs="宋体"/>
                <w:kern w:val="0"/>
                <w:sz w:val="18"/>
                <w:szCs w:val="18"/>
                <w:lang w:val="zh-CN" w:bidi="zh-CN"/>
              </w:rPr>
            </w:pPr>
            <w:r>
              <w:rPr>
                <w:rFonts w:cs="宋体"/>
                <w:kern w:val="0"/>
                <w:sz w:val="18"/>
                <w:szCs w:val="18"/>
                <w:lang w:val="zh-CN" w:bidi="zh-CN"/>
              </w:rPr>
              <w:t>报文编号</w:t>
            </w:r>
          </w:p>
        </w:tc>
        <w:tc>
          <w:tcPr>
            <w:tcW w:w="1123" w:type="dxa"/>
            <w:tcBorders>
              <w:top w:val="single" w:color="000000" w:sz="12" w:space="0"/>
              <w:tl2br w:val="nil"/>
              <w:tr2bl w:val="nil"/>
            </w:tcBorders>
            <w:noWrap w:val="0"/>
            <w:vAlign w:val="center"/>
          </w:tcPr>
          <w:p>
            <w:pPr>
              <w:autoSpaceDE w:val="0"/>
              <w:autoSpaceDN w:val="0"/>
              <w:jc w:val="center"/>
              <w:rPr>
                <w:rFonts w:cs="宋体"/>
                <w:kern w:val="0"/>
                <w:sz w:val="18"/>
                <w:szCs w:val="18"/>
                <w:lang w:val="zh-CN" w:bidi="zh-CN"/>
              </w:rPr>
            </w:pPr>
            <w:r>
              <w:rPr>
                <w:rFonts w:cs="宋体"/>
                <w:kern w:val="0"/>
                <w:sz w:val="18"/>
                <w:szCs w:val="18"/>
                <w:lang w:val="zh-CN" w:bidi="zh-CN"/>
              </w:rPr>
              <w:t>guid</w:t>
            </w:r>
          </w:p>
        </w:tc>
        <w:tc>
          <w:tcPr>
            <w:tcW w:w="900" w:type="dxa"/>
            <w:tcBorders>
              <w:top w:val="single" w:color="000000" w:sz="12" w:space="0"/>
              <w:tl2br w:val="nil"/>
              <w:tr2bl w:val="nil"/>
            </w:tcBorders>
            <w:noWrap w:val="0"/>
            <w:vAlign w:val="center"/>
          </w:tcPr>
          <w:p>
            <w:pPr>
              <w:autoSpaceDE w:val="0"/>
              <w:autoSpaceDN w:val="0"/>
              <w:jc w:val="center"/>
              <w:rPr>
                <w:rFonts w:cs="宋体"/>
                <w:kern w:val="0"/>
                <w:sz w:val="18"/>
                <w:szCs w:val="18"/>
                <w:lang w:val="zh-CN" w:bidi="zh-CN"/>
              </w:rPr>
            </w:pPr>
            <w:r>
              <w:rPr>
                <w:rFonts w:cs="宋体"/>
                <w:kern w:val="0"/>
                <w:sz w:val="18"/>
                <w:szCs w:val="18"/>
                <w:lang w:val="zh-CN" w:bidi="zh-CN"/>
              </w:rPr>
              <w:t>an36</w:t>
            </w:r>
          </w:p>
        </w:tc>
        <w:tc>
          <w:tcPr>
            <w:tcW w:w="677" w:type="dxa"/>
            <w:tcBorders>
              <w:top w:val="single" w:color="000000" w:sz="12" w:space="0"/>
              <w:tl2br w:val="nil"/>
              <w:tr2bl w:val="nil"/>
            </w:tcBorders>
            <w:noWrap w:val="0"/>
            <w:vAlign w:val="center"/>
          </w:tcPr>
          <w:p>
            <w:pPr>
              <w:autoSpaceDE w:val="0"/>
              <w:autoSpaceDN w:val="0"/>
              <w:jc w:val="center"/>
              <w:rPr>
                <w:rFonts w:cs="宋体"/>
                <w:kern w:val="0"/>
                <w:sz w:val="18"/>
                <w:szCs w:val="18"/>
                <w:lang w:val="zh-CN" w:bidi="zh-CN"/>
              </w:rPr>
            </w:pPr>
            <w:r>
              <w:rPr>
                <w:rFonts w:cs="宋体"/>
                <w:kern w:val="0"/>
                <w:sz w:val="18"/>
                <w:szCs w:val="18"/>
                <w:lang w:val="zh-CN" w:bidi="zh-CN"/>
              </w:rPr>
              <w:t>是</w:t>
            </w:r>
          </w:p>
        </w:tc>
        <w:tc>
          <w:tcPr>
            <w:tcW w:w="4698" w:type="dxa"/>
            <w:tcBorders>
              <w:top w:val="single" w:color="000000" w:sz="12" w:space="0"/>
              <w:tl2br w:val="nil"/>
              <w:tr2bl w:val="nil"/>
            </w:tcBorders>
            <w:noWrap w:val="0"/>
            <w:vAlign w:val="center"/>
          </w:tcPr>
          <w:p>
            <w:pPr>
              <w:autoSpaceDE w:val="0"/>
              <w:autoSpaceDN w:val="0"/>
              <w:jc w:val="center"/>
              <w:rPr>
                <w:rFonts w:cs="宋体"/>
                <w:kern w:val="0"/>
                <w:sz w:val="18"/>
                <w:szCs w:val="18"/>
                <w:lang w:val="zh-CN" w:bidi="zh-CN"/>
              </w:rPr>
            </w:pPr>
            <w:r>
              <w:rPr>
                <w:rFonts w:cs="宋体"/>
                <w:kern w:val="0"/>
                <w:sz w:val="18"/>
                <w:szCs w:val="18"/>
                <w:lang w:val="zh-CN" w:bidi="zh-CN"/>
              </w:rPr>
              <w:t>报文的36位系统唯一序号（英文字母大写）。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23" w:type="dxa"/>
            <w:tcBorders>
              <w:tl2br w:val="nil"/>
              <w:tr2bl w:val="nil"/>
            </w:tcBorders>
            <w:noWrap w:val="0"/>
            <w:vAlign w:val="center"/>
          </w:tcPr>
          <w:p>
            <w:pPr>
              <w:autoSpaceDE w:val="0"/>
              <w:autoSpaceDN w:val="0"/>
              <w:jc w:val="center"/>
              <w:rPr>
                <w:rFonts w:cs="宋体"/>
                <w:kern w:val="0"/>
                <w:sz w:val="18"/>
                <w:szCs w:val="18"/>
                <w:lang w:val="zh-CN" w:bidi="zh-CN"/>
              </w:rPr>
            </w:pPr>
            <w:r>
              <w:rPr>
                <w:rFonts w:cs="宋体"/>
                <w:kern w:val="0"/>
                <w:sz w:val="18"/>
                <w:szCs w:val="18"/>
                <w:lang w:val="zh-CN" w:bidi="zh-CN"/>
              </w:rPr>
              <w:t>版本号</w:t>
            </w:r>
          </w:p>
        </w:tc>
        <w:tc>
          <w:tcPr>
            <w:tcW w:w="1123" w:type="dxa"/>
            <w:tcBorders>
              <w:tl2br w:val="nil"/>
              <w:tr2bl w:val="nil"/>
            </w:tcBorders>
            <w:noWrap w:val="0"/>
            <w:vAlign w:val="center"/>
          </w:tcPr>
          <w:p>
            <w:pPr>
              <w:autoSpaceDE w:val="0"/>
              <w:autoSpaceDN w:val="0"/>
              <w:jc w:val="center"/>
              <w:rPr>
                <w:rFonts w:cs="宋体"/>
                <w:kern w:val="0"/>
                <w:sz w:val="18"/>
                <w:szCs w:val="18"/>
                <w:lang w:val="zh-CN" w:bidi="zh-CN"/>
              </w:rPr>
            </w:pPr>
            <w:r>
              <w:rPr>
                <w:rFonts w:cs="宋体"/>
                <w:kern w:val="0"/>
                <w:sz w:val="18"/>
                <w:szCs w:val="18"/>
                <w:lang w:val="zh-CN" w:bidi="zh-CN"/>
              </w:rPr>
              <w:t>version</w:t>
            </w:r>
          </w:p>
        </w:tc>
        <w:tc>
          <w:tcPr>
            <w:tcW w:w="900" w:type="dxa"/>
            <w:tcBorders>
              <w:tl2br w:val="nil"/>
              <w:tr2bl w:val="nil"/>
            </w:tcBorders>
            <w:noWrap w:val="0"/>
            <w:vAlign w:val="center"/>
          </w:tcPr>
          <w:p>
            <w:pPr>
              <w:autoSpaceDE w:val="0"/>
              <w:autoSpaceDN w:val="0"/>
              <w:jc w:val="center"/>
              <w:rPr>
                <w:rFonts w:cs="宋体"/>
                <w:kern w:val="0"/>
                <w:sz w:val="18"/>
                <w:szCs w:val="18"/>
                <w:lang w:val="zh-CN" w:bidi="zh-CN"/>
              </w:rPr>
            </w:pPr>
            <w:r>
              <w:rPr>
                <w:rFonts w:cs="宋体"/>
                <w:kern w:val="0"/>
                <w:sz w:val="18"/>
                <w:szCs w:val="18"/>
                <w:lang w:val="zh-CN" w:bidi="zh-CN"/>
              </w:rPr>
              <w:t>an..10</w:t>
            </w:r>
          </w:p>
        </w:tc>
        <w:tc>
          <w:tcPr>
            <w:tcW w:w="677" w:type="dxa"/>
            <w:tcBorders>
              <w:tl2br w:val="nil"/>
              <w:tr2bl w:val="nil"/>
            </w:tcBorders>
            <w:noWrap w:val="0"/>
            <w:vAlign w:val="center"/>
          </w:tcPr>
          <w:p>
            <w:pPr>
              <w:autoSpaceDE w:val="0"/>
              <w:autoSpaceDN w:val="0"/>
              <w:jc w:val="center"/>
              <w:rPr>
                <w:rFonts w:cs="宋体"/>
                <w:kern w:val="0"/>
                <w:sz w:val="18"/>
                <w:szCs w:val="18"/>
                <w:lang w:val="zh-CN" w:bidi="zh-CN"/>
              </w:rPr>
            </w:pPr>
            <w:r>
              <w:rPr>
                <w:rFonts w:cs="宋体"/>
                <w:kern w:val="0"/>
                <w:sz w:val="18"/>
                <w:szCs w:val="18"/>
                <w:lang w:val="zh-CN" w:bidi="zh-CN"/>
              </w:rPr>
              <w:t>是</w:t>
            </w:r>
          </w:p>
        </w:tc>
        <w:tc>
          <w:tcPr>
            <w:tcW w:w="4698" w:type="dxa"/>
            <w:tcBorders>
              <w:tl2br w:val="nil"/>
              <w:tr2bl w:val="nil"/>
            </w:tcBorders>
            <w:noWrap w:val="0"/>
            <w:vAlign w:val="center"/>
          </w:tcPr>
          <w:p>
            <w:pPr>
              <w:autoSpaceDE w:val="0"/>
              <w:autoSpaceDN w:val="0"/>
              <w:jc w:val="center"/>
              <w:rPr>
                <w:rFonts w:cs="宋体"/>
                <w:kern w:val="0"/>
                <w:sz w:val="18"/>
                <w:szCs w:val="18"/>
                <w:lang w:val="zh-CN" w:bidi="zh-CN"/>
              </w:rPr>
            </w:pPr>
            <w:r>
              <w:rPr>
                <w:rFonts w:cs="宋体"/>
                <w:kern w:val="0"/>
                <w:sz w:val="18"/>
                <w:szCs w:val="18"/>
                <w:lang w:val="zh-CN" w:bidi="zh-CN"/>
              </w:rPr>
              <w:t>报文版本号，默认为1.0</w:t>
            </w:r>
          </w:p>
        </w:tc>
      </w:tr>
    </w:tbl>
    <w:p>
      <w:pPr>
        <w:keepNext w:val="0"/>
        <w:keepLines w:val="0"/>
        <w:pageBreakBefore w:val="0"/>
        <w:widowControl/>
        <w:numPr>
          <w:ilvl w:val="-1"/>
          <w:numId w:val="0"/>
        </w:numPr>
        <w:tabs>
          <w:tab w:val="left" w:pos="0"/>
          <w:tab w:val="center" w:pos="4201"/>
          <w:tab w:val="right" w:leader="dot" w:pos="9298"/>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hAnsi="Times New Roman" w:eastAsia="黑体" w:cs="Times New Roman"/>
          <w:sz w:val="21"/>
          <w:szCs w:val="22"/>
          <w:lang w:val="en-US" w:eastAsia="zh-CN" w:bidi="ar-SA"/>
        </w:rPr>
      </w:pPr>
      <w:bookmarkStart w:id="163" w:name="_Toc80263641"/>
      <w:r>
        <w:rPr>
          <w:rFonts w:hint="eastAsia" w:ascii="黑体" w:hAnsi="Times New Roman" w:eastAsia="黑体" w:cs="Times New Roman"/>
          <w:sz w:val="21"/>
          <w:szCs w:val="22"/>
          <w:lang w:val="en-US" w:eastAsia="zh-CN" w:bidi="ar-SA"/>
        </w:rPr>
        <w:t>B.3.3  退货理货明细业务节点描述</w:t>
      </w:r>
      <w:bookmarkEnd w:id="163"/>
    </w:p>
    <w:p>
      <w:pPr>
        <w:numPr>
          <w:ilvl w:val="-1"/>
          <w:numId w:val="0"/>
        </w:numPr>
        <w:tabs>
          <w:tab w:val="left" w:pos="0"/>
          <w:tab w:val="center" w:pos="4201"/>
          <w:tab w:val="right" w:leader="dot" w:pos="9298"/>
        </w:tabs>
        <w:autoSpaceDE w:val="0"/>
        <w:autoSpaceDN w:val="0"/>
        <w:ind w:left="0" w:leftChars="0" w:firstLine="420" w:firstLineChars="200"/>
        <w:jc w:val="both"/>
        <w:rPr>
          <w:rFonts w:hint="eastAsia" w:ascii="宋体" w:hAnsi="Times New Roman" w:eastAsia="宋体" w:cs="Times New Roman"/>
          <w:kern w:val="0"/>
          <w:sz w:val="21"/>
          <w:szCs w:val="22"/>
          <w:lang w:val="en-US" w:eastAsia="zh-CN" w:bidi="ar-SA"/>
        </w:rPr>
      </w:pPr>
      <w:r>
        <w:rPr>
          <w:rFonts w:hint="eastAsia" w:ascii="宋体" w:hAnsi="Times New Roman" w:eastAsia="宋体" w:cs="Times New Roman"/>
          <w:kern w:val="0"/>
          <w:sz w:val="21"/>
          <w:szCs w:val="22"/>
          <w:lang w:val="en-US" w:eastAsia="zh-CN" w:bidi="ar-SA"/>
        </w:rPr>
        <w:t>退货理货明细业务节点描述见表B.8。</w:t>
      </w:r>
    </w:p>
    <w:p>
      <w:pPr>
        <w:keepNext/>
        <w:keepLines/>
        <w:widowControl w:val="0"/>
        <w:numPr>
          <w:ilvl w:val="255"/>
          <w:numId w:val="0"/>
        </w:numPr>
        <w:tabs>
          <w:tab w:val="left" w:pos="0"/>
        </w:tabs>
        <w:autoSpaceDE w:val="0"/>
        <w:autoSpaceDN w:val="0"/>
        <w:spacing w:before="156" w:beforeLines="50" w:after="156" w:afterLines="50"/>
        <w:ind w:left="0" w:firstLine="0"/>
        <w:jc w:val="center"/>
        <w:outlineLvl w:val="2"/>
        <w:rPr>
          <w:rFonts w:hint="eastAsia" w:ascii="黑体" w:hAnsi="黑体" w:eastAsia="黑体" w:cs="黑体"/>
          <w:bCs w:val="0"/>
          <w:kern w:val="2"/>
          <w:sz w:val="21"/>
          <w:szCs w:val="21"/>
          <w:lang w:val="en-US" w:eastAsia="zh-CN" w:bidi="ar-SA"/>
        </w:rPr>
      </w:pPr>
      <w:bookmarkStart w:id="164" w:name="_bookmark12"/>
      <w:bookmarkEnd w:id="164"/>
      <w:r>
        <w:rPr>
          <w:rFonts w:hint="eastAsia" w:ascii="黑体" w:hAnsi="黑体" w:eastAsia="黑体" w:cs="黑体"/>
          <w:bCs w:val="0"/>
          <w:kern w:val="2"/>
          <w:sz w:val="21"/>
          <w:szCs w:val="21"/>
          <w:lang w:val="en-US" w:eastAsia="zh-CN" w:bidi="ar-SA"/>
        </w:rPr>
        <w:t>表B.8  退货订单业务节点描述</w:t>
      </w:r>
    </w:p>
    <w:tbl>
      <w:tblPr>
        <w:tblStyle w:val="17"/>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13" w:type="dxa"/>
          <w:bottom w:w="0" w:type="dxa"/>
          <w:right w:w="0" w:type="dxa"/>
        </w:tblCellMar>
      </w:tblPr>
      <w:tblGrid>
        <w:gridCol w:w="1813"/>
        <w:gridCol w:w="1246"/>
        <w:gridCol w:w="1119"/>
        <w:gridCol w:w="1119"/>
        <w:gridCol w:w="341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widowControl w:val="0"/>
              <w:autoSpaceDE w:val="0"/>
              <w:autoSpaceDN w:val="0"/>
              <w:spacing w:before="21"/>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中文名称</w:t>
            </w:r>
          </w:p>
        </w:tc>
        <w:tc>
          <w:tcPr>
            <w:tcW w:w="1246" w:type="dxa"/>
            <w:tcBorders>
              <w:tl2br w:val="nil"/>
              <w:tr2bl w:val="nil"/>
            </w:tcBorders>
            <w:noWrap w:val="0"/>
            <w:vAlign w:val="center"/>
          </w:tcPr>
          <w:p>
            <w:pPr>
              <w:widowControl w:val="0"/>
              <w:autoSpaceDE w:val="0"/>
              <w:autoSpaceDN w:val="0"/>
              <w:spacing w:before="21"/>
              <w:ind w:left="106"/>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英文名称</w:t>
            </w:r>
          </w:p>
        </w:tc>
        <w:tc>
          <w:tcPr>
            <w:tcW w:w="1119" w:type="dxa"/>
            <w:tcBorders>
              <w:tl2br w:val="nil"/>
              <w:tr2bl w:val="nil"/>
            </w:tcBorders>
            <w:noWrap w:val="0"/>
            <w:vAlign w:val="center"/>
          </w:tcPr>
          <w:p>
            <w:pPr>
              <w:widowControl w:val="0"/>
              <w:autoSpaceDE w:val="0"/>
              <w:autoSpaceDN w:val="0"/>
              <w:spacing w:before="21"/>
              <w:ind w:left="106"/>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数据格式</w:t>
            </w:r>
          </w:p>
        </w:tc>
        <w:tc>
          <w:tcPr>
            <w:tcW w:w="1119" w:type="dxa"/>
            <w:tcBorders>
              <w:tl2br w:val="nil"/>
              <w:tr2bl w:val="nil"/>
            </w:tcBorders>
            <w:noWrap w:val="0"/>
            <w:vAlign w:val="center"/>
          </w:tcPr>
          <w:p>
            <w:pPr>
              <w:widowControl w:val="0"/>
              <w:autoSpaceDE w:val="0"/>
              <w:autoSpaceDN w:val="0"/>
              <w:spacing w:before="21"/>
              <w:ind w:left="106"/>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必填</w:t>
            </w:r>
          </w:p>
        </w:tc>
        <w:tc>
          <w:tcPr>
            <w:tcW w:w="3419" w:type="dxa"/>
            <w:tcBorders>
              <w:tl2br w:val="nil"/>
              <w:tr2bl w:val="nil"/>
            </w:tcBorders>
            <w:noWrap w:val="0"/>
            <w:vAlign w:val="center"/>
          </w:tcPr>
          <w:p>
            <w:pPr>
              <w:widowControl w:val="0"/>
              <w:autoSpaceDE w:val="0"/>
              <w:autoSpaceDN w:val="0"/>
              <w:spacing w:before="21"/>
              <w:ind w:left="106"/>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8716" w:type="dxa"/>
            <w:gridSpan w:val="5"/>
            <w:tcBorders>
              <w:tl2br w:val="nil"/>
              <w:tr2bl w:val="nil"/>
            </w:tcBorders>
            <w:noWrap w:val="0"/>
            <w:vAlign w:val="center"/>
          </w:tcPr>
          <w:p>
            <w:pPr>
              <w:widowControl w:val="0"/>
              <w:autoSpaceDE w:val="0"/>
              <w:autoSpaceDN w:val="0"/>
              <w:spacing w:before="20"/>
              <w:ind w:left="2654" w:right="2649"/>
              <w:jc w:val="center"/>
              <w:rPr>
                <w:rFonts w:hint="eastAsia" w:ascii="宋体" w:hAnsi="宋体" w:eastAsia="宋体" w:cs="宋体"/>
                <w:sz w:val="18"/>
                <w:szCs w:val="18"/>
                <w:lang w:val="en-US" w:eastAsia="zh-CN" w:bidi="zh-CN"/>
              </w:rPr>
            </w:pPr>
            <w:r>
              <w:rPr>
                <w:rFonts w:hint="eastAsia" w:ascii="宋体" w:hAnsi="宋体" w:eastAsia="宋体" w:cs="宋体"/>
                <w:sz w:val="18"/>
                <w:szCs w:val="18"/>
                <w:lang w:val="en-US" w:eastAsia="zh-CN" w:bidi="zh-CN"/>
              </w:rPr>
              <w:t>InvtRefundDetail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系统唯一序号</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guid</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C36</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企业系统生成36位唯一序号</w:t>
            </w:r>
          </w:p>
          <w:p>
            <w:pPr>
              <w:pStyle w:val="47"/>
              <w:jc w:val="center"/>
              <w:rPr>
                <w:rFonts w:hint="eastAsia" w:ascii="宋体" w:hAnsi="宋体" w:eastAsia="宋体" w:cs="宋体"/>
                <w:sz w:val="18"/>
                <w:szCs w:val="18"/>
              </w:rPr>
            </w:pPr>
            <w:r>
              <w:rPr>
                <w:rFonts w:hint="eastAsia" w:ascii="宋体" w:hAnsi="宋体" w:eastAsia="宋体" w:cs="宋体"/>
                <w:sz w:val="18"/>
                <w:szCs w:val="18"/>
              </w:rPr>
              <w:t>（英文字母大写）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报送类型</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appType</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企业报送类型。1-新增 2-变更 3-删除。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报送时间</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appTime</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C14</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企业报送时间 格式:YYYYMMDDhhmmss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报送状态</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appStatus</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企业报送状态。默认填写2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lang w:val="zh-CN"/>
              </w:rPr>
            </w:pPr>
            <w:r>
              <w:rPr>
                <w:rFonts w:hint="eastAsia" w:ascii="宋体" w:hAnsi="宋体" w:eastAsia="宋体" w:cs="宋体"/>
                <w:sz w:val="18"/>
                <w:szCs w:val="18"/>
              </w:rPr>
              <w:t>申报地海关代码</w:t>
            </w:r>
          </w:p>
        </w:tc>
        <w:tc>
          <w:tcPr>
            <w:tcW w:w="1246" w:type="dxa"/>
            <w:tcBorders>
              <w:tl2br w:val="nil"/>
              <w:tr2bl w:val="nil"/>
            </w:tcBorders>
            <w:noWrap w:val="0"/>
            <w:vAlign w:val="center"/>
          </w:tcPr>
          <w:p>
            <w:pPr>
              <w:pStyle w:val="47"/>
              <w:jc w:val="center"/>
              <w:rPr>
                <w:rFonts w:hint="eastAsia" w:ascii="宋体" w:hAnsi="宋体" w:eastAsia="宋体" w:cs="宋体"/>
                <w:sz w:val="18"/>
                <w:szCs w:val="18"/>
                <w:lang w:val="zh-CN"/>
              </w:rPr>
            </w:pPr>
            <w:r>
              <w:rPr>
                <w:rFonts w:hint="eastAsia" w:ascii="宋体" w:hAnsi="宋体" w:eastAsia="宋体" w:cs="宋体"/>
                <w:sz w:val="18"/>
                <w:szCs w:val="18"/>
              </w:rPr>
              <w:t>customsCode</w:t>
            </w:r>
          </w:p>
        </w:tc>
        <w:tc>
          <w:tcPr>
            <w:tcW w:w="1119" w:type="dxa"/>
            <w:tcBorders>
              <w:tl2br w:val="nil"/>
              <w:tr2bl w:val="nil"/>
            </w:tcBorders>
            <w:noWrap w:val="0"/>
            <w:vAlign w:val="center"/>
          </w:tcPr>
          <w:p>
            <w:pPr>
              <w:pStyle w:val="47"/>
              <w:jc w:val="center"/>
              <w:rPr>
                <w:rFonts w:hint="eastAsia" w:ascii="宋体" w:hAnsi="宋体" w:eastAsia="宋体" w:cs="宋体"/>
                <w:sz w:val="18"/>
                <w:szCs w:val="18"/>
                <w:lang w:val="zh-CN"/>
              </w:rPr>
            </w:pPr>
            <w:r>
              <w:rPr>
                <w:rFonts w:hint="eastAsia" w:ascii="宋体" w:hAnsi="宋体" w:eastAsia="宋体" w:cs="宋体"/>
                <w:sz w:val="18"/>
                <w:szCs w:val="18"/>
              </w:rPr>
              <w:t>C4</w:t>
            </w:r>
          </w:p>
        </w:tc>
        <w:tc>
          <w:tcPr>
            <w:tcW w:w="1119" w:type="dxa"/>
            <w:tcBorders>
              <w:tl2br w:val="nil"/>
              <w:tr2bl w:val="nil"/>
            </w:tcBorders>
            <w:noWrap w:val="0"/>
            <w:vAlign w:val="center"/>
          </w:tcPr>
          <w:p>
            <w:pPr>
              <w:pStyle w:val="47"/>
              <w:jc w:val="center"/>
              <w:rPr>
                <w:rFonts w:hint="eastAsia" w:ascii="宋体" w:hAnsi="宋体" w:eastAsia="宋体" w:cs="宋体"/>
                <w:sz w:val="18"/>
                <w:szCs w:val="18"/>
                <w:lang w:val="zh-CN"/>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jc w:val="center"/>
              <w:rPr>
                <w:rFonts w:hint="eastAsia" w:ascii="宋体" w:hAnsi="宋体" w:eastAsia="宋体" w:cs="宋体"/>
                <w:sz w:val="18"/>
                <w:szCs w:val="18"/>
                <w:lang w:val="zh-CN"/>
              </w:rPr>
            </w:pPr>
            <w:r>
              <w:rPr>
                <w:rFonts w:hint="eastAsia" w:ascii="宋体" w:hAnsi="宋体" w:eastAsia="宋体" w:cs="宋体"/>
                <w:sz w:val="18"/>
                <w:szCs w:val="18"/>
              </w:rPr>
              <w:t>接受申报的海关关区代码，参照JGS/T 18《海关关区代码》。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退货提运单号</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refundBillNo</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C..37</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溯源退货货物的提运单号码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入场交通工具号码</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domesticTrafNo</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C..100</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退货货物放行后进入监管场地提货的交通工具车牌号码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监管场所编码</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loctNo</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C..10</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同一申报地海关下有多个跨境电子商务的监管场所。</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监管场所经营人代码</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operatorCode</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C..18</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监管场所经营人在海关注册登记的编号，邮政运输用邮政物流企业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监管场所经营人名称</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operatorName</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C..100</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监管场所经营人在海关注册登记的名称，邮政运输用邮政物流</w:t>
            </w:r>
          </w:p>
          <w:p>
            <w:pPr>
              <w:pStyle w:val="47"/>
              <w:jc w:val="center"/>
              <w:rPr>
                <w:rFonts w:hint="eastAsia" w:ascii="宋体" w:hAnsi="宋体" w:eastAsia="宋体" w:cs="宋体"/>
                <w:sz w:val="18"/>
                <w:szCs w:val="18"/>
              </w:rPr>
            </w:pPr>
            <w:r>
              <w:rPr>
                <w:rFonts w:hint="eastAsia" w:ascii="宋体" w:hAnsi="宋体" w:eastAsia="宋体" w:cs="宋体"/>
                <w:sz w:val="18"/>
                <w:szCs w:val="18"/>
              </w:rPr>
              <w:t>企业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8716" w:type="dxa"/>
            <w:gridSpan w:val="5"/>
            <w:tcBorders>
              <w:tl2br w:val="nil"/>
              <w:tr2bl w:val="nil"/>
            </w:tcBorders>
            <w:noWrap w:val="0"/>
            <w:vAlign w:val="center"/>
          </w:tcPr>
          <w:p>
            <w:pPr>
              <w:widowControl w:val="0"/>
              <w:autoSpaceDE w:val="0"/>
              <w:autoSpaceDN w:val="0"/>
              <w:spacing w:before="22"/>
              <w:ind w:left="106"/>
              <w:jc w:val="center"/>
              <w:rPr>
                <w:rFonts w:hint="eastAsia" w:ascii="宋体" w:hAnsi="宋体" w:eastAsia="宋体" w:cs="宋体"/>
                <w:sz w:val="18"/>
                <w:szCs w:val="18"/>
                <w:lang w:val="en-US" w:eastAsia="zh-CN" w:bidi="zh-CN"/>
              </w:rPr>
            </w:pPr>
            <w:r>
              <w:rPr>
                <w:rFonts w:hint="eastAsia" w:ascii="宋体" w:hAnsi="宋体" w:eastAsia="宋体" w:cs="宋体"/>
                <w:sz w:val="18"/>
                <w:szCs w:val="18"/>
                <w:lang w:val="en-US" w:eastAsia="zh-CN" w:bidi="zh-CN"/>
              </w:rPr>
              <w:t>InvtRefundDetailOrderHead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退货总包号</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totalPackageNo</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C..37</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退货货物运单号装入的大包号码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退货申报企业编码</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agentCode</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C..18</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申报退货订单数据的主体编码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退货申报企业名称</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agentName</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C..100</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申报退货订单数据的主体名称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退货物流企业编码</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logisticsCode</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C..18</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退货物流企业编码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退货物流企业名称</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logisticsName</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C..100</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退货物流企业名称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退货运单号</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logisticsNo</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C..80</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退货货物的物流面单号码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毛重</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grossWeight</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N19,5</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单位为千克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理货状态</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tallyStatus</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1-理货正常 2-理货异常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理货异常原因</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tallyInfo</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C2</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否</w:t>
            </w:r>
          </w:p>
        </w:tc>
        <w:tc>
          <w:tcPr>
            <w:tcW w:w="34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(01 品名不符、02数量不符，03 重量不符 04其他)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出场车牌号</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outTrafNo</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C..100</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否</w:t>
            </w:r>
          </w:p>
        </w:tc>
        <w:tc>
          <w:tcPr>
            <w:tcW w:w="34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放行离场时对应的车牌号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8716" w:type="dxa"/>
            <w:gridSpan w:val="5"/>
            <w:tcBorders>
              <w:tl2br w:val="nil"/>
              <w:tr2bl w:val="nil"/>
            </w:tcBorders>
            <w:noWrap w:val="0"/>
            <w:vAlign w:val="center"/>
          </w:tcPr>
          <w:p>
            <w:pPr>
              <w:widowControl w:val="0"/>
              <w:autoSpaceDE w:val="0"/>
              <w:autoSpaceDN w:val="0"/>
              <w:spacing w:before="18"/>
              <w:ind w:left="107"/>
              <w:jc w:val="center"/>
              <w:rPr>
                <w:rFonts w:hint="eastAsia" w:ascii="宋体" w:hAnsi="宋体" w:eastAsia="宋体" w:cs="宋体"/>
                <w:sz w:val="18"/>
                <w:szCs w:val="18"/>
                <w:lang w:val="en-US" w:eastAsia="zh-CN" w:bidi="zh-CN"/>
              </w:rPr>
            </w:pPr>
            <w:r>
              <w:rPr>
                <w:rFonts w:hint="eastAsia" w:ascii="宋体" w:hAnsi="宋体" w:eastAsia="宋体" w:cs="宋体"/>
                <w:sz w:val="18"/>
                <w:szCs w:val="18"/>
                <w:lang w:val="en-US" w:eastAsia="zh-CN" w:bidi="zh-CN"/>
              </w:rPr>
              <w:t>InvtRefundDetailOrderList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商品项号</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gnum</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Int</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对应原订单商品项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商品名称</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gname</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C..250</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退货商品名称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商品编码</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gcode</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C..10</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退货商品的HSCOOD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规格型号</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gmodel</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C..250</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退货商品的材质，用途等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申报数量</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qty</w:t>
            </w:r>
          </w:p>
        </w:tc>
        <w:tc>
          <w:tcPr>
            <w:tcW w:w="11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N19,5</w:t>
            </w:r>
          </w:p>
        </w:tc>
        <w:tc>
          <w:tcPr>
            <w:tcW w:w="11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退货商品的个数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申报计量单位</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unit</w:t>
            </w:r>
          </w:p>
        </w:tc>
        <w:tc>
          <w:tcPr>
            <w:tcW w:w="11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C3</w:t>
            </w:r>
          </w:p>
        </w:tc>
        <w:tc>
          <w:tcPr>
            <w:tcW w:w="11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color w:val="000000"/>
                <w:sz w:val="18"/>
                <w:szCs w:val="18"/>
              </w:rPr>
              <w:t>申报计量单位</w:t>
            </w:r>
          </w:p>
        </w:tc>
      </w:tr>
    </w:tbl>
    <w:p>
      <w:pPr>
        <w:keepNext w:val="0"/>
        <w:keepLines w:val="0"/>
        <w:pageBreakBefore w:val="0"/>
        <w:widowControl/>
        <w:numPr>
          <w:ilvl w:val="-1"/>
          <w:numId w:val="0"/>
        </w:numPr>
        <w:tabs>
          <w:tab w:val="left" w:pos="0"/>
          <w:tab w:val="center" w:pos="4201"/>
          <w:tab w:val="right" w:leader="dot" w:pos="9298"/>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hAnsi="Times New Roman" w:eastAsia="黑体" w:cs="Times New Roman"/>
          <w:sz w:val="21"/>
          <w:szCs w:val="22"/>
          <w:lang w:val="en-US" w:eastAsia="zh-CN" w:bidi="ar-SA"/>
        </w:rPr>
      </w:pPr>
      <w:r>
        <w:rPr>
          <w:rFonts w:hint="eastAsia" w:ascii="黑体" w:hAnsi="Times New Roman" w:eastAsia="黑体" w:cs="Times New Roman"/>
          <w:sz w:val="21"/>
          <w:szCs w:val="22"/>
          <w:lang w:val="en-US" w:eastAsia="zh-CN" w:bidi="ar-SA"/>
        </w:rPr>
        <w:t>B.3.4  基础报文传输实体节点</w:t>
      </w:r>
    </w:p>
    <w:p>
      <w:pPr>
        <w:numPr>
          <w:ilvl w:val="-1"/>
          <w:numId w:val="0"/>
        </w:numPr>
        <w:tabs>
          <w:tab w:val="left" w:pos="0"/>
          <w:tab w:val="center" w:pos="4201"/>
          <w:tab w:val="right" w:leader="dot" w:pos="9298"/>
        </w:tabs>
        <w:autoSpaceDE w:val="0"/>
        <w:autoSpaceDN w:val="0"/>
        <w:ind w:left="0" w:leftChars="0" w:firstLine="420" w:firstLineChars="200"/>
        <w:jc w:val="both"/>
        <w:rPr>
          <w:rFonts w:hint="eastAsia" w:ascii="宋体" w:hAnsi="Times New Roman" w:eastAsia="宋体" w:cs="Times New Roman"/>
          <w:kern w:val="0"/>
          <w:sz w:val="21"/>
          <w:szCs w:val="22"/>
          <w:lang w:val="en-US" w:eastAsia="zh-CN" w:bidi="ar-SA"/>
        </w:rPr>
      </w:pPr>
      <w:r>
        <w:rPr>
          <w:rFonts w:hint="eastAsia" w:ascii="宋体" w:hAnsi="Times New Roman" w:eastAsia="宋体" w:cs="Times New Roman"/>
          <w:kern w:val="0"/>
          <w:sz w:val="21"/>
          <w:szCs w:val="22"/>
          <w:lang w:val="en-US" w:eastAsia="zh-CN" w:bidi="ar-SA"/>
        </w:rPr>
        <w:t>基础报文传输实体节点见表B.9。</w:t>
      </w:r>
    </w:p>
    <w:p>
      <w:pPr>
        <w:keepNext/>
        <w:keepLines/>
        <w:widowControl w:val="0"/>
        <w:numPr>
          <w:ilvl w:val="255"/>
          <w:numId w:val="0"/>
        </w:numPr>
        <w:tabs>
          <w:tab w:val="left" w:pos="0"/>
        </w:tabs>
        <w:autoSpaceDE w:val="0"/>
        <w:autoSpaceDN w:val="0"/>
        <w:spacing w:before="156" w:beforeLines="50" w:after="156" w:afterLines="50"/>
        <w:ind w:left="0" w:firstLine="0"/>
        <w:jc w:val="center"/>
        <w:outlineLvl w:val="2"/>
        <w:rPr>
          <w:rFonts w:hint="eastAsia" w:ascii="黑体" w:hAnsi="黑体" w:eastAsia="黑体" w:cs="黑体"/>
          <w:bCs w:val="0"/>
          <w:kern w:val="2"/>
          <w:sz w:val="21"/>
          <w:szCs w:val="21"/>
          <w:lang w:val="en-US" w:eastAsia="zh-CN" w:bidi="ar-SA"/>
        </w:rPr>
      </w:pPr>
      <w:r>
        <w:rPr>
          <w:rFonts w:hint="eastAsia" w:ascii="黑体" w:hAnsi="黑体" w:eastAsia="黑体" w:cs="黑体"/>
          <w:bCs w:val="0"/>
          <w:kern w:val="2"/>
          <w:sz w:val="21"/>
          <w:szCs w:val="21"/>
          <w:lang w:val="en-US" w:eastAsia="zh-CN" w:bidi="ar-SA"/>
        </w:rPr>
        <w:t>表B.9  基础报文传输实体节点</w:t>
      </w:r>
    </w:p>
    <w:tbl>
      <w:tblPr>
        <w:tblStyle w:val="17"/>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610"/>
        <w:gridCol w:w="1067"/>
        <w:gridCol w:w="1067"/>
        <w:gridCol w:w="643"/>
        <w:gridCol w:w="437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610"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中文名称</w:t>
            </w:r>
          </w:p>
        </w:tc>
        <w:tc>
          <w:tcPr>
            <w:tcW w:w="1067"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英文名称</w:t>
            </w:r>
          </w:p>
        </w:tc>
        <w:tc>
          <w:tcPr>
            <w:tcW w:w="1067"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数据格式</w:t>
            </w:r>
          </w:p>
        </w:tc>
        <w:tc>
          <w:tcPr>
            <w:tcW w:w="643"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必填</w:t>
            </w:r>
          </w:p>
        </w:tc>
        <w:tc>
          <w:tcPr>
            <w:tcW w:w="4370"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610"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传输企业代码</w:t>
            </w:r>
          </w:p>
        </w:tc>
        <w:tc>
          <w:tcPr>
            <w:tcW w:w="1067"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copCode</w:t>
            </w:r>
          </w:p>
        </w:tc>
        <w:tc>
          <w:tcPr>
            <w:tcW w:w="1067"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C..18</w:t>
            </w:r>
          </w:p>
        </w:tc>
        <w:tc>
          <w:tcPr>
            <w:tcW w:w="643"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4370" w:type="dxa"/>
            <w:tcBorders>
              <w:top w:val="single" w:color="000000" w:sz="12" w:space="0"/>
              <w:tl2br w:val="nil"/>
              <w:tr2bl w:val="nil"/>
            </w:tcBorders>
            <w:noWrap w:val="0"/>
            <w:vAlign w:val="center"/>
          </w:tcPr>
          <w:p>
            <w:pPr>
              <w:pStyle w:val="47"/>
              <w:jc w:val="both"/>
              <w:rPr>
                <w:rFonts w:hint="eastAsia" w:ascii="宋体" w:hAnsi="宋体" w:eastAsia="宋体" w:cs="宋体"/>
                <w:sz w:val="18"/>
                <w:szCs w:val="18"/>
              </w:rPr>
            </w:pPr>
            <w:r>
              <w:rPr>
                <w:rFonts w:hint="eastAsia" w:ascii="宋体" w:hAnsi="宋体" w:eastAsia="宋体" w:cs="宋体"/>
                <w:sz w:val="18"/>
                <w:szCs w:val="18"/>
              </w:rPr>
              <w:t>报文传输的企业代码（需要与接入客户端的企业身份一致）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610"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传输企业名称</w:t>
            </w:r>
          </w:p>
        </w:tc>
        <w:tc>
          <w:tcPr>
            <w:tcW w:w="1067"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copName</w:t>
            </w:r>
          </w:p>
        </w:tc>
        <w:tc>
          <w:tcPr>
            <w:tcW w:w="1067"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C..100</w:t>
            </w:r>
          </w:p>
        </w:tc>
        <w:tc>
          <w:tcPr>
            <w:tcW w:w="64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4370"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报文传输的企业名称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610"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报文传输模式</w:t>
            </w:r>
          </w:p>
        </w:tc>
        <w:tc>
          <w:tcPr>
            <w:tcW w:w="1067"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dxpMode</w:t>
            </w:r>
          </w:p>
        </w:tc>
        <w:tc>
          <w:tcPr>
            <w:tcW w:w="1067"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w:t>
            </w:r>
          </w:p>
        </w:tc>
        <w:tc>
          <w:tcPr>
            <w:tcW w:w="64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4370"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默认为DXP；指中国电子口岸数据交换平台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610"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报文传输编号</w:t>
            </w:r>
          </w:p>
        </w:tc>
        <w:tc>
          <w:tcPr>
            <w:tcW w:w="1067"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dxpId</w:t>
            </w:r>
          </w:p>
        </w:tc>
        <w:tc>
          <w:tcPr>
            <w:tcW w:w="1067"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C..30</w:t>
            </w:r>
          </w:p>
        </w:tc>
        <w:tc>
          <w:tcPr>
            <w:tcW w:w="64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4370" w:type="dxa"/>
            <w:tcBorders>
              <w:tl2br w:val="nil"/>
              <w:tr2bl w:val="nil"/>
            </w:tcBorders>
            <w:noWrap w:val="0"/>
            <w:vAlign w:val="center"/>
          </w:tcPr>
          <w:p>
            <w:pPr>
              <w:pStyle w:val="47"/>
              <w:jc w:val="both"/>
              <w:rPr>
                <w:rFonts w:hint="eastAsia" w:ascii="宋体" w:hAnsi="宋体" w:eastAsia="宋体" w:cs="宋体"/>
                <w:sz w:val="18"/>
                <w:szCs w:val="18"/>
              </w:rPr>
            </w:pPr>
            <w:r>
              <w:rPr>
                <w:rFonts w:hint="eastAsia" w:ascii="宋体" w:hAnsi="宋体" w:eastAsia="宋体" w:cs="宋体"/>
                <w:sz w:val="18"/>
                <w:szCs w:val="18"/>
              </w:rPr>
              <w:t>向中国电子口岸数据中心申请数据交换平台的用户编号</w:t>
            </w:r>
          </w:p>
        </w:tc>
      </w:tr>
    </w:tbl>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157" w:beforeLines="50" w:after="157" w:afterLines="50"/>
        <w:ind w:leftChars="0"/>
        <w:jc w:val="both"/>
        <w:textAlignment w:val="auto"/>
        <w:outlineLvl w:val="1"/>
        <w:rPr>
          <w:rFonts w:hint="eastAsia" w:ascii="黑体" w:hAnsi="黑体" w:eastAsia="黑体" w:cs="黑体"/>
          <w:sz w:val="21"/>
          <w:szCs w:val="21"/>
          <w:lang w:val="en-US" w:eastAsia="zh-CN" w:bidi="ar-SA"/>
        </w:rPr>
      </w:pPr>
      <w:bookmarkStart w:id="165" w:name="_Toc29888"/>
      <w:bookmarkStart w:id="166" w:name="_Toc80263642"/>
      <w:bookmarkStart w:id="167" w:name="_Toc15405"/>
      <w:r>
        <w:rPr>
          <w:rFonts w:hint="eastAsia" w:ascii="黑体" w:hAnsi="黑体" w:eastAsia="黑体" w:cs="黑体"/>
          <w:sz w:val="21"/>
          <w:szCs w:val="21"/>
          <w:lang w:val="en-US" w:eastAsia="zh-CN" w:bidi="ar-SA"/>
        </w:rPr>
        <w:t>B.4  退货理货明细回执报文</w:t>
      </w:r>
      <w:bookmarkEnd w:id="165"/>
      <w:r>
        <w:rPr>
          <w:rFonts w:hint="eastAsia" w:ascii="黑体" w:hAnsi="黑体" w:eastAsia="黑体" w:cs="黑体"/>
          <w:sz w:val="21"/>
          <w:szCs w:val="21"/>
          <w:lang w:val="en-US" w:eastAsia="zh-CN" w:bidi="ar-SA"/>
        </w:rPr>
        <w:t>【DEN216】</w:t>
      </w:r>
      <w:bookmarkEnd w:id="166"/>
      <w:bookmarkEnd w:id="167"/>
    </w:p>
    <w:p>
      <w:pPr>
        <w:keepNext w:val="0"/>
        <w:keepLines w:val="0"/>
        <w:pageBreakBefore w:val="0"/>
        <w:widowControl/>
        <w:numPr>
          <w:ilvl w:val="-1"/>
          <w:numId w:val="0"/>
        </w:numPr>
        <w:tabs>
          <w:tab w:val="left" w:pos="0"/>
          <w:tab w:val="center" w:pos="4201"/>
          <w:tab w:val="right" w:leader="dot" w:pos="9298"/>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hAnsi="Times New Roman" w:eastAsia="黑体" w:cs="Times New Roman"/>
          <w:sz w:val="21"/>
          <w:szCs w:val="22"/>
          <w:lang w:val="en-US" w:eastAsia="zh-CN" w:bidi="ar-SA"/>
        </w:rPr>
      </w:pPr>
      <w:bookmarkStart w:id="168" w:name="2.2.1订单回执报文结构"/>
      <w:bookmarkEnd w:id="168"/>
      <w:bookmarkStart w:id="169" w:name="_bookmark15"/>
      <w:bookmarkEnd w:id="169"/>
      <w:bookmarkStart w:id="170" w:name="_Toc80263643"/>
      <w:r>
        <w:rPr>
          <w:rFonts w:hint="eastAsia" w:ascii="黑体" w:hAnsi="Times New Roman" w:eastAsia="黑体" w:cs="Times New Roman"/>
          <w:sz w:val="21"/>
          <w:szCs w:val="22"/>
          <w:lang w:val="en-US" w:eastAsia="zh-CN" w:bidi="ar-SA"/>
        </w:rPr>
        <w:t>B.4.1  退货理货明细回执报文结构</w:t>
      </w:r>
      <w:bookmarkEnd w:id="170"/>
    </w:p>
    <w:p>
      <w:pPr>
        <w:widowControl w:val="0"/>
        <w:autoSpaceDE w:val="0"/>
        <w:autoSpaceDN w:val="0"/>
        <w:jc w:val="center"/>
        <w:rPr>
          <w:rFonts w:ascii="宋体" w:hAnsi="宋体" w:eastAsia="宋体" w:cs="宋体"/>
          <w:sz w:val="24"/>
          <w:szCs w:val="24"/>
          <w:lang w:val="zh-CN" w:eastAsia="zh-CN" w:bidi="zh-CN"/>
        </w:rPr>
      </w:pPr>
      <w:r>
        <w:rPr>
          <w:rFonts w:ascii="宋体" w:hAnsi="宋体" w:eastAsia="宋体" w:cs="宋体"/>
          <w:sz w:val="24"/>
          <w:szCs w:val="24"/>
          <w:lang w:val="zh-CN" w:eastAsia="zh-CN" w:bidi="zh-CN"/>
        </w:rPr>
        <w:drawing>
          <wp:inline distT="0" distB="0" distL="114300" distR="114300">
            <wp:extent cx="5683250" cy="2387600"/>
            <wp:effectExtent l="0" t="0" r="12700" b="1270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26"/>
                    <a:stretch>
                      <a:fillRect/>
                    </a:stretch>
                  </pic:blipFill>
                  <pic:spPr>
                    <a:xfrm>
                      <a:off x="0" y="0"/>
                      <a:ext cx="5683250" cy="2387600"/>
                    </a:xfrm>
                    <a:prstGeom prst="rect">
                      <a:avLst/>
                    </a:prstGeom>
                    <a:noFill/>
                    <a:ln>
                      <a:noFill/>
                    </a:ln>
                  </pic:spPr>
                </pic:pic>
              </a:graphicData>
            </a:graphic>
          </wp:inline>
        </w:drawing>
      </w:r>
    </w:p>
    <w:p>
      <w:pPr>
        <w:keepNext/>
        <w:keepLines/>
        <w:widowControl w:val="0"/>
        <w:numPr>
          <w:ilvl w:val="255"/>
          <w:numId w:val="0"/>
        </w:numPr>
        <w:tabs>
          <w:tab w:val="left" w:pos="0"/>
        </w:tabs>
        <w:autoSpaceDE w:val="0"/>
        <w:autoSpaceDN w:val="0"/>
        <w:spacing w:before="156" w:beforeLines="50" w:after="156" w:afterLines="50"/>
        <w:ind w:left="0" w:firstLine="0"/>
        <w:jc w:val="center"/>
        <w:outlineLvl w:val="2"/>
        <w:rPr>
          <w:rFonts w:cs="宋体"/>
          <w:kern w:val="0"/>
          <w:sz w:val="22"/>
          <w:szCs w:val="22"/>
          <w:lang w:val="zh-CN" w:bidi="zh-CN"/>
        </w:rPr>
      </w:pPr>
      <w:r>
        <w:rPr>
          <w:rFonts w:hint="eastAsia" w:ascii="黑体" w:hAnsi="黑体" w:eastAsia="黑体" w:cs="黑体"/>
          <w:bCs w:val="0"/>
          <w:kern w:val="2"/>
          <w:sz w:val="21"/>
          <w:szCs w:val="21"/>
          <w:lang w:val="en-US" w:eastAsia="zh-CN" w:bidi="ar-SA"/>
        </w:rPr>
        <w:t>图B.4  退货理货明细回执报文结构</w:t>
      </w:r>
    </w:p>
    <w:p>
      <w:pPr>
        <w:keepNext w:val="0"/>
        <w:keepLines w:val="0"/>
        <w:pageBreakBefore w:val="0"/>
        <w:widowControl/>
        <w:numPr>
          <w:ilvl w:val="-1"/>
          <w:numId w:val="0"/>
        </w:numPr>
        <w:tabs>
          <w:tab w:val="left" w:pos="0"/>
          <w:tab w:val="center" w:pos="4201"/>
          <w:tab w:val="right" w:leader="dot" w:pos="9298"/>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hAnsi="Times New Roman" w:eastAsia="黑体" w:cs="Times New Roman"/>
          <w:sz w:val="21"/>
          <w:szCs w:val="22"/>
          <w:lang w:val="en-US" w:eastAsia="zh-CN" w:bidi="ar-SA"/>
        </w:rPr>
      </w:pPr>
      <w:bookmarkStart w:id="171" w:name="2.2订单回执报文"/>
      <w:bookmarkEnd w:id="171"/>
      <w:bookmarkStart w:id="172" w:name="_bookmark14"/>
      <w:bookmarkEnd w:id="172"/>
      <w:bookmarkStart w:id="173" w:name="_Toc80263644"/>
      <w:r>
        <w:rPr>
          <w:rFonts w:hint="eastAsia" w:ascii="黑体" w:hAnsi="Times New Roman" w:eastAsia="黑体" w:cs="Times New Roman"/>
          <w:sz w:val="21"/>
          <w:szCs w:val="22"/>
          <w:lang w:val="en-US" w:eastAsia="zh-CN" w:bidi="ar-SA"/>
        </w:rPr>
        <w:t>B.4.2  退货理货明细回执报文根节点</w:t>
      </w:r>
      <w:bookmarkEnd w:id="173"/>
    </w:p>
    <w:p>
      <w:pPr>
        <w:numPr>
          <w:ilvl w:val="-1"/>
          <w:numId w:val="0"/>
        </w:numPr>
        <w:tabs>
          <w:tab w:val="left" w:pos="0"/>
          <w:tab w:val="center" w:pos="4201"/>
          <w:tab w:val="right" w:leader="dot" w:pos="9298"/>
        </w:tabs>
        <w:autoSpaceDE w:val="0"/>
        <w:autoSpaceDN w:val="0"/>
        <w:ind w:left="0" w:leftChars="0" w:firstLine="420" w:firstLineChars="200"/>
        <w:jc w:val="both"/>
        <w:rPr>
          <w:rFonts w:hint="default" w:ascii="宋体" w:hAnsi="Times New Roman" w:eastAsia="宋体" w:cs="Times New Roman"/>
          <w:sz w:val="21"/>
          <w:szCs w:val="22"/>
          <w:lang w:val="en-US" w:eastAsia="zh-CN" w:bidi="ar-SA"/>
        </w:rPr>
      </w:pPr>
      <w:r>
        <w:rPr>
          <w:rFonts w:hint="eastAsia" w:ascii="宋体" w:hAnsi="Times New Roman" w:eastAsia="宋体" w:cs="Times New Roman"/>
          <w:sz w:val="21"/>
          <w:szCs w:val="22"/>
          <w:lang w:val="en-US" w:eastAsia="zh-CN" w:bidi="ar-SA"/>
        </w:rPr>
        <w:t>DEN216</w:t>
      </w:r>
      <w:r>
        <w:rPr>
          <w:rFonts w:hint="default" w:ascii="宋体" w:hAnsi="Times New Roman" w:eastAsia="宋体" w:cs="Times New Roman"/>
          <w:sz w:val="21"/>
          <w:szCs w:val="22"/>
          <w:lang w:val="en-US" w:eastAsia="zh-CN" w:bidi="ar-SA"/>
        </w:rPr>
        <w:t>Message 为</w:t>
      </w:r>
      <w:r>
        <w:rPr>
          <w:rFonts w:hint="eastAsia" w:ascii="宋体" w:hAnsi="Times New Roman" w:eastAsia="宋体" w:cs="Times New Roman"/>
          <w:sz w:val="21"/>
          <w:szCs w:val="22"/>
          <w:lang w:val="en-US" w:eastAsia="zh-CN" w:bidi="ar-SA"/>
        </w:rPr>
        <w:t>退货理货明细</w:t>
      </w:r>
      <w:r>
        <w:rPr>
          <w:rFonts w:hint="default" w:ascii="宋体" w:hAnsi="Times New Roman" w:eastAsia="宋体" w:cs="Times New Roman"/>
          <w:sz w:val="21"/>
          <w:szCs w:val="22"/>
          <w:lang w:val="en-US" w:eastAsia="zh-CN" w:bidi="ar-SA"/>
        </w:rPr>
        <w:t>回执报文 XML 根节点名称，包括 guid 和 version 两个属性，</w:t>
      </w:r>
      <w:r>
        <w:rPr>
          <w:rFonts w:hint="eastAsia" w:ascii="宋体" w:hAnsi="Times New Roman" w:eastAsia="宋体" w:cs="Times New Roman"/>
          <w:sz w:val="21"/>
          <w:szCs w:val="22"/>
          <w:lang w:val="en-US" w:eastAsia="zh-CN" w:bidi="ar-SA"/>
        </w:rPr>
        <w:t>见</w:t>
      </w:r>
      <w:r>
        <w:rPr>
          <w:rFonts w:hint="default" w:ascii="宋体" w:hAnsi="Times New Roman" w:eastAsia="宋体" w:cs="Times New Roman"/>
          <w:sz w:val="21"/>
          <w:szCs w:val="22"/>
          <w:lang w:val="en-US" w:eastAsia="zh-CN" w:bidi="ar-SA"/>
        </w:rPr>
        <w:t>表</w:t>
      </w:r>
      <w:r>
        <w:rPr>
          <w:rFonts w:hint="eastAsia" w:ascii="宋体" w:hAnsi="Times New Roman" w:eastAsia="宋体" w:cs="Times New Roman"/>
          <w:sz w:val="21"/>
          <w:szCs w:val="22"/>
          <w:lang w:val="en-US" w:eastAsia="zh-CN" w:bidi="ar-SA"/>
        </w:rPr>
        <w:t>B.10</w:t>
      </w:r>
      <w:r>
        <w:rPr>
          <w:rFonts w:hint="default" w:ascii="宋体" w:hAnsi="Times New Roman" w:eastAsia="宋体" w:cs="Times New Roman"/>
          <w:sz w:val="21"/>
          <w:szCs w:val="22"/>
          <w:lang w:val="en-US" w:eastAsia="zh-CN" w:bidi="ar-SA"/>
        </w:rPr>
        <w:t>。</w:t>
      </w:r>
    </w:p>
    <w:p>
      <w:pPr>
        <w:keepNext/>
        <w:keepLines/>
        <w:widowControl w:val="0"/>
        <w:numPr>
          <w:ilvl w:val="255"/>
          <w:numId w:val="0"/>
        </w:numPr>
        <w:tabs>
          <w:tab w:val="left" w:pos="0"/>
        </w:tabs>
        <w:autoSpaceDE w:val="0"/>
        <w:autoSpaceDN w:val="0"/>
        <w:spacing w:before="156" w:beforeLines="50" w:after="156" w:afterLines="50"/>
        <w:ind w:left="0" w:firstLine="0"/>
        <w:jc w:val="center"/>
        <w:outlineLvl w:val="2"/>
        <w:rPr>
          <w:rFonts w:hint="default" w:ascii="宋体" w:hAnsi="Times New Roman" w:eastAsia="宋体" w:cs="Times New Roman"/>
          <w:bCs/>
          <w:sz w:val="21"/>
          <w:szCs w:val="22"/>
          <w:lang w:val="en-US" w:eastAsia="zh-CN" w:bidi="ar-SA"/>
        </w:rPr>
      </w:pPr>
      <w:r>
        <w:rPr>
          <w:rFonts w:hint="eastAsia" w:ascii="黑体" w:hAnsi="黑体" w:eastAsia="黑体" w:cs="黑体"/>
          <w:bCs w:val="0"/>
          <w:sz w:val="22"/>
          <w:szCs w:val="21"/>
          <w:lang w:val="en-US" w:eastAsia="zh-CN" w:bidi="zh-CN"/>
        </w:rPr>
        <w:t>表B.10  DEN216Message节点的属性</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23"/>
        <w:gridCol w:w="1123"/>
        <w:gridCol w:w="900"/>
        <w:gridCol w:w="677"/>
        <w:gridCol w:w="46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23" w:type="dxa"/>
            <w:tcBorders>
              <w:bottom w:val="single" w:color="000000" w:sz="12" w:space="0"/>
            </w:tcBorders>
            <w:noWrap w:val="0"/>
            <w:vAlign w:val="center"/>
          </w:tcPr>
          <w:p>
            <w:pPr>
              <w:widowControl w:val="0"/>
              <w:autoSpaceDE w:val="0"/>
              <w:autoSpaceDN w:val="0"/>
              <w:spacing w:before="21"/>
              <w:ind w:left="107"/>
              <w:jc w:val="center"/>
              <w:rPr>
                <w:rFonts w:ascii="宋体" w:hAnsi="宋体" w:eastAsia="宋体" w:cs="宋体"/>
                <w:sz w:val="18"/>
                <w:szCs w:val="18"/>
                <w:lang w:val="zh-CN" w:eastAsia="zh-CN" w:bidi="zh-CN"/>
              </w:rPr>
            </w:pPr>
            <w:bookmarkStart w:id="174" w:name="_bookmark18"/>
            <w:bookmarkEnd w:id="174"/>
            <w:r>
              <w:rPr>
                <w:rFonts w:ascii="宋体" w:hAnsi="宋体" w:eastAsia="宋体" w:cs="宋体"/>
                <w:sz w:val="18"/>
                <w:szCs w:val="18"/>
                <w:lang w:val="zh-CN" w:eastAsia="zh-CN" w:bidi="zh-CN"/>
              </w:rPr>
              <w:t>名称</w:t>
            </w:r>
          </w:p>
        </w:tc>
        <w:tc>
          <w:tcPr>
            <w:tcW w:w="1123" w:type="dxa"/>
            <w:tcBorders>
              <w:bottom w:val="single" w:color="000000" w:sz="12" w:space="0"/>
            </w:tcBorders>
            <w:noWrap w:val="0"/>
            <w:vAlign w:val="center"/>
          </w:tcPr>
          <w:p>
            <w:pPr>
              <w:widowControl w:val="0"/>
              <w:autoSpaceDE w:val="0"/>
              <w:autoSpaceDN w:val="0"/>
              <w:spacing w:before="21"/>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英文名称</w:t>
            </w:r>
          </w:p>
        </w:tc>
        <w:tc>
          <w:tcPr>
            <w:tcW w:w="900" w:type="dxa"/>
            <w:tcBorders>
              <w:bottom w:val="single" w:color="000000" w:sz="12" w:space="0"/>
            </w:tcBorders>
            <w:noWrap w:val="0"/>
            <w:vAlign w:val="center"/>
          </w:tcPr>
          <w:p>
            <w:pPr>
              <w:widowControl w:val="0"/>
              <w:autoSpaceDE w:val="0"/>
              <w:autoSpaceDN w:val="0"/>
              <w:spacing w:before="21"/>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类型</w:t>
            </w:r>
          </w:p>
        </w:tc>
        <w:tc>
          <w:tcPr>
            <w:tcW w:w="677" w:type="dxa"/>
            <w:tcBorders>
              <w:bottom w:val="single" w:color="000000" w:sz="12" w:space="0"/>
            </w:tcBorders>
            <w:noWrap w:val="0"/>
            <w:vAlign w:val="center"/>
          </w:tcPr>
          <w:p>
            <w:pPr>
              <w:widowControl w:val="0"/>
              <w:autoSpaceDE w:val="0"/>
              <w:autoSpaceDN w:val="0"/>
              <w:spacing w:before="21"/>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必填</w:t>
            </w:r>
          </w:p>
        </w:tc>
        <w:tc>
          <w:tcPr>
            <w:tcW w:w="4699" w:type="dxa"/>
            <w:tcBorders>
              <w:bottom w:val="single" w:color="000000" w:sz="12" w:space="0"/>
            </w:tcBorders>
            <w:noWrap w:val="0"/>
            <w:vAlign w:val="center"/>
          </w:tcPr>
          <w:p>
            <w:pPr>
              <w:widowControl w:val="0"/>
              <w:autoSpaceDE w:val="0"/>
              <w:autoSpaceDN w:val="0"/>
              <w:spacing w:before="21"/>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23" w:type="dxa"/>
            <w:tcBorders>
              <w:top w:val="single" w:color="000000" w:sz="12" w:space="0"/>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报文编号</w:t>
            </w:r>
          </w:p>
        </w:tc>
        <w:tc>
          <w:tcPr>
            <w:tcW w:w="1123" w:type="dxa"/>
            <w:tcBorders>
              <w:top w:val="single" w:color="000000" w:sz="12" w:space="0"/>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guid</w:t>
            </w:r>
          </w:p>
        </w:tc>
        <w:tc>
          <w:tcPr>
            <w:tcW w:w="900" w:type="dxa"/>
            <w:tcBorders>
              <w:top w:val="single" w:color="000000" w:sz="12" w:space="0"/>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an36</w:t>
            </w:r>
          </w:p>
        </w:tc>
        <w:tc>
          <w:tcPr>
            <w:tcW w:w="677" w:type="dxa"/>
            <w:tcBorders>
              <w:top w:val="single" w:color="000000" w:sz="12" w:space="0"/>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w w:val="99"/>
                <w:sz w:val="18"/>
                <w:szCs w:val="18"/>
                <w:lang w:val="zh-CN" w:eastAsia="zh-CN" w:bidi="zh-CN"/>
              </w:rPr>
              <w:t>是</w:t>
            </w:r>
          </w:p>
        </w:tc>
        <w:tc>
          <w:tcPr>
            <w:tcW w:w="4699" w:type="dxa"/>
            <w:tcBorders>
              <w:top w:val="single" w:color="000000" w:sz="12" w:space="0"/>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报文的36位系统唯一序号（英文字母大写）。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23"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版本号</w:t>
            </w:r>
          </w:p>
        </w:tc>
        <w:tc>
          <w:tcPr>
            <w:tcW w:w="1123"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version</w:t>
            </w:r>
          </w:p>
        </w:tc>
        <w:tc>
          <w:tcPr>
            <w:tcW w:w="900" w:type="dxa"/>
            <w:tcBorders>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an..10</w:t>
            </w:r>
          </w:p>
        </w:tc>
        <w:tc>
          <w:tcPr>
            <w:tcW w:w="677" w:type="dxa"/>
            <w:tcBorders>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w w:val="99"/>
                <w:sz w:val="18"/>
                <w:szCs w:val="18"/>
                <w:lang w:val="zh-CN" w:eastAsia="zh-CN" w:bidi="zh-CN"/>
              </w:rPr>
              <w:t>是</w:t>
            </w:r>
          </w:p>
        </w:tc>
        <w:tc>
          <w:tcPr>
            <w:tcW w:w="4699"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报文版本号，默认为1.0</w:t>
            </w:r>
          </w:p>
        </w:tc>
      </w:tr>
    </w:tbl>
    <w:p>
      <w:pPr>
        <w:keepNext w:val="0"/>
        <w:keepLines w:val="0"/>
        <w:pageBreakBefore w:val="0"/>
        <w:widowControl/>
        <w:numPr>
          <w:ilvl w:val="-1"/>
          <w:numId w:val="0"/>
        </w:numPr>
        <w:tabs>
          <w:tab w:val="left" w:pos="0"/>
          <w:tab w:val="center" w:pos="4201"/>
          <w:tab w:val="right" w:leader="dot" w:pos="9298"/>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hAnsi="Times New Roman" w:eastAsia="黑体" w:cs="Times New Roman"/>
          <w:sz w:val="21"/>
          <w:szCs w:val="22"/>
          <w:lang w:val="en-US" w:eastAsia="zh-CN" w:bidi="ar-SA"/>
        </w:rPr>
      </w:pPr>
      <w:bookmarkStart w:id="175" w:name="_bookmark21"/>
      <w:bookmarkEnd w:id="175"/>
      <w:bookmarkStart w:id="176" w:name="2.2.4订单回执报文描述"/>
      <w:bookmarkEnd w:id="176"/>
      <w:bookmarkStart w:id="177" w:name="_Toc80263645"/>
      <w:r>
        <w:rPr>
          <w:rFonts w:hint="eastAsia" w:ascii="黑体" w:hAnsi="Times New Roman" w:eastAsia="黑体" w:cs="Times New Roman"/>
          <w:sz w:val="21"/>
          <w:szCs w:val="22"/>
          <w:lang w:val="en-US" w:eastAsia="zh-CN" w:bidi="ar-SA"/>
        </w:rPr>
        <w:t>B.4.3  退货理货明细回执报文描述</w:t>
      </w:r>
      <w:bookmarkEnd w:id="177"/>
    </w:p>
    <w:p>
      <w:pPr>
        <w:autoSpaceDE w:val="0"/>
        <w:autoSpaceDN w:val="0"/>
        <w:bidi w:val="0"/>
        <w:ind w:firstLine="440" w:firstLineChars="200"/>
        <w:jc w:val="left"/>
        <w:rPr>
          <w:rFonts w:hint="default" w:cs="宋体"/>
          <w:kern w:val="0"/>
          <w:sz w:val="22"/>
          <w:szCs w:val="22"/>
          <w:lang w:val="en-US" w:eastAsia="zh-CN" w:bidi="zh-CN"/>
        </w:rPr>
      </w:pPr>
      <w:r>
        <w:rPr>
          <w:rFonts w:hint="default" w:cs="宋体"/>
          <w:kern w:val="0"/>
          <w:sz w:val="22"/>
          <w:szCs w:val="22"/>
          <w:lang w:val="en-US" w:eastAsia="zh-CN" w:bidi="zh-CN"/>
        </w:rPr>
        <w:t>退货理货明细回执报文描述</w:t>
      </w:r>
      <w:r>
        <w:rPr>
          <w:rFonts w:hint="eastAsia" w:cs="宋体"/>
          <w:kern w:val="0"/>
          <w:sz w:val="22"/>
          <w:szCs w:val="22"/>
          <w:lang w:val="en-US" w:eastAsia="zh-CN" w:bidi="zh-CN"/>
        </w:rPr>
        <w:t>见表B.11。</w:t>
      </w:r>
    </w:p>
    <w:p>
      <w:pPr>
        <w:keepNext/>
        <w:keepLines/>
        <w:widowControl w:val="0"/>
        <w:numPr>
          <w:ilvl w:val="255"/>
          <w:numId w:val="0"/>
        </w:numPr>
        <w:tabs>
          <w:tab w:val="left" w:pos="0"/>
        </w:tabs>
        <w:autoSpaceDE w:val="0"/>
        <w:autoSpaceDN w:val="0"/>
        <w:spacing w:before="156" w:beforeLines="50" w:after="156" w:afterLines="50"/>
        <w:ind w:left="0" w:firstLine="0"/>
        <w:jc w:val="center"/>
        <w:outlineLvl w:val="2"/>
        <w:rPr>
          <w:rFonts w:hint="eastAsia" w:ascii="黑体" w:hAnsi="黑体" w:eastAsia="黑体" w:cs="黑体"/>
          <w:bCs w:val="0"/>
          <w:sz w:val="22"/>
          <w:szCs w:val="21"/>
          <w:lang w:val="en-US" w:eastAsia="zh-CN" w:bidi="zh-CN"/>
        </w:rPr>
      </w:pPr>
      <w:r>
        <w:rPr>
          <w:rFonts w:hint="eastAsia" w:ascii="黑体" w:hAnsi="黑体" w:eastAsia="黑体" w:cs="黑体"/>
          <w:bCs w:val="0"/>
          <w:sz w:val="22"/>
          <w:szCs w:val="21"/>
          <w:lang w:val="en-US" w:eastAsia="zh-CN" w:bidi="zh-CN"/>
        </w:rPr>
        <w:t>表B.11  退货理货明细回执报文描述</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23"/>
        <w:gridCol w:w="1327"/>
        <w:gridCol w:w="854"/>
        <w:gridCol w:w="969"/>
        <w:gridCol w:w="404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23" w:type="dxa"/>
            <w:tcBorders>
              <w:bottom w:val="single" w:color="000000" w:sz="12" w:space="0"/>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中文名称</w:t>
            </w:r>
          </w:p>
        </w:tc>
        <w:tc>
          <w:tcPr>
            <w:tcW w:w="1327" w:type="dxa"/>
            <w:tcBorders>
              <w:bottom w:val="single" w:color="000000" w:sz="12" w:space="0"/>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英文名称</w:t>
            </w:r>
          </w:p>
        </w:tc>
        <w:tc>
          <w:tcPr>
            <w:tcW w:w="854" w:type="dxa"/>
            <w:tcBorders>
              <w:bottom w:val="single" w:color="000000" w:sz="12" w:space="0"/>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数据格式</w:t>
            </w:r>
          </w:p>
        </w:tc>
        <w:tc>
          <w:tcPr>
            <w:tcW w:w="969" w:type="dxa"/>
            <w:tcBorders>
              <w:bottom w:val="single" w:color="000000" w:sz="12" w:space="0"/>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必填</w:t>
            </w:r>
          </w:p>
        </w:tc>
        <w:tc>
          <w:tcPr>
            <w:tcW w:w="4048" w:type="dxa"/>
            <w:tcBorders>
              <w:bottom w:val="single" w:color="000000" w:sz="12" w:space="0"/>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23" w:type="dxa"/>
            <w:tcBorders>
              <w:top w:val="single" w:color="000000" w:sz="12" w:space="0"/>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系统唯一序号</w:t>
            </w:r>
          </w:p>
        </w:tc>
        <w:tc>
          <w:tcPr>
            <w:tcW w:w="1327" w:type="dxa"/>
            <w:tcBorders>
              <w:top w:val="single" w:color="000000" w:sz="12" w:space="0"/>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guid</w:t>
            </w:r>
          </w:p>
        </w:tc>
        <w:tc>
          <w:tcPr>
            <w:tcW w:w="854" w:type="dxa"/>
            <w:tcBorders>
              <w:top w:val="single" w:color="000000" w:sz="12" w:space="0"/>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C36</w:t>
            </w:r>
          </w:p>
        </w:tc>
        <w:tc>
          <w:tcPr>
            <w:tcW w:w="969" w:type="dxa"/>
            <w:tcBorders>
              <w:top w:val="single" w:color="000000" w:sz="12" w:space="0"/>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是</w:t>
            </w:r>
          </w:p>
        </w:tc>
        <w:tc>
          <w:tcPr>
            <w:tcW w:w="4048" w:type="dxa"/>
            <w:tcBorders>
              <w:top w:val="single" w:color="000000" w:sz="12" w:space="0"/>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系统生成36位唯一序号（英文字母大写）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23"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监管场所经营人代码</w:t>
            </w:r>
          </w:p>
        </w:tc>
        <w:tc>
          <w:tcPr>
            <w:tcW w:w="1327"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operatorCode</w:t>
            </w:r>
          </w:p>
        </w:tc>
        <w:tc>
          <w:tcPr>
            <w:tcW w:w="854"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C..18</w:t>
            </w:r>
          </w:p>
        </w:tc>
        <w:tc>
          <w:tcPr>
            <w:tcW w:w="969"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是</w:t>
            </w:r>
          </w:p>
        </w:tc>
        <w:tc>
          <w:tcPr>
            <w:tcW w:w="4048" w:type="dxa"/>
            <w:tcBorders>
              <w:tl2br w:val="nil"/>
              <w:tr2bl w:val="nil"/>
            </w:tcBorders>
            <w:noWrap w:val="0"/>
            <w:vAlign w:val="center"/>
          </w:tcPr>
          <w:p>
            <w:pPr>
              <w:widowControl w:val="0"/>
              <w:autoSpaceDE w:val="0"/>
              <w:autoSpaceDN w:val="0"/>
              <w:spacing w:before="20"/>
              <w:ind w:left="0" w:leftChars="0" w:firstLine="0" w:firstLineChars="0"/>
              <w:jc w:val="both"/>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监管场所经营人在海关注册登记的编号，邮政运输用邮政物流企业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23"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退货提运单号</w:t>
            </w:r>
          </w:p>
        </w:tc>
        <w:tc>
          <w:tcPr>
            <w:tcW w:w="1327"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refundBillNo</w:t>
            </w:r>
          </w:p>
        </w:tc>
        <w:tc>
          <w:tcPr>
            <w:tcW w:w="854"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C..37</w:t>
            </w:r>
          </w:p>
        </w:tc>
        <w:tc>
          <w:tcPr>
            <w:tcW w:w="969"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是</w:t>
            </w:r>
          </w:p>
        </w:tc>
        <w:tc>
          <w:tcPr>
            <w:tcW w:w="4048"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溯源退货货物的提运单号码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23"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回执状态</w:t>
            </w:r>
          </w:p>
        </w:tc>
        <w:tc>
          <w:tcPr>
            <w:tcW w:w="1327"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returnStatus</w:t>
            </w:r>
          </w:p>
        </w:tc>
        <w:tc>
          <w:tcPr>
            <w:tcW w:w="854"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C1..10</w:t>
            </w:r>
          </w:p>
        </w:tc>
        <w:tc>
          <w:tcPr>
            <w:tcW w:w="969"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是</w:t>
            </w:r>
          </w:p>
        </w:tc>
        <w:tc>
          <w:tcPr>
            <w:tcW w:w="4048"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操作结果1:入库成功 2:入库失败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23"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回执时间</w:t>
            </w:r>
          </w:p>
        </w:tc>
        <w:tc>
          <w:tcPr>
            <w:tcW w:w="1327"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returnTime</w:t>
            </w:r>
          </w:p>
        </w:tc>
        <w:tc>
          <w:tcPr>
            <w:tcW w:w="854"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C17</w:t>
            </w:r>
          </w:p>
        </w:tc>
        <w:tc>
          <w:tcPr>
            <w:tcW w:w="969"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是</w:t>
            </w:r>
          </w:p>
        </w:tc>
        <w:tc>
          <w:tcPr>
            <w:tcW w:w="4048"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操作时间(格式：yyyyMMddHHmmssfff)</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23"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回执信息</w:t>
            </w:r>
          </w:p>
        </w:tc>
        <w:tc>
          <w:tcPr>
            <w:tcW w:w="1327"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returnInfo</w:t>
            </w:r>
          </w:p>
        </w:tc>
        <w:tc>
          <w:tcPr>
            <w:tcW w:w="854"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C..1000</w:t>
            </w:r>
          </w:p>
        </w:tc>
        <w:tc>
          <w:tcPr>
            <w:tcW w:w="969"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是</w:t>
            </w:r>
          </w:p>
        </w:tc>
        <w:tc>
          <w:tcPr>
            <w:tcW w:w="4048"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备注（如:</w:t>
            </w:r>
            <w:r>
              <w:rPr>
                <w:rFonts w:hint="eastAsia" w:ascii="宋体" w:hAnsi="宋体" w:eastAsia="宋体" w:cs="宋体"/>
                <w:sz w:val="18"/>
                <w:szCs w:val="18"/>
                <w:lang w:val="zh-CN" w:eastAsia="zh-CN" w:bidi="zh-CN"/>
              </w:rPr>
              <w:t>入库失败</w:t>
            </w:r>
            <w:r>
              <w:rPr>
                <w:rFonts w:ascii="宋体" w:hAnsi="宋体" w:eastAsia="宋体" w:cs="宋体"/>
                <w:sz w:val="18"/>
                <w:szCs w:val="18"/>
                <w:lang w:val="zh-CN" w:eastAsia="zh-CN" w:bidi="zh-CN"/>
              </w:rPr>
              <w:t>原因）</w:t>
            </w:r>
          </w:p>
        </w:tc>
      </w:tr>
    </w:tbl>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157" w:beforeLines="50" w:after="157" w:afterLines="50"/>
        <w:ind w:leftChars="0"/>
        <w:jc w:val="both"/>
        <w:textAlignment w:val="auto"/>
        <w:outlineLvl w:val="1"/>
        <w:rPr>
          <w:rFonts w:hint="eastAsia" w:ascii="黑体" w:hAnsi="黑体" w:eastAsia="黑体" w:cs="黑体"/>
          <w:sz w:val="21"/>
          <w:szCs w:val="21"/>
          <w:lang w:val="en-US" w:eastAsia="zh-CN" w:bidi="ar-SA"/>
        </w:rPr>
      </w:pPr>
      <w:bookmarkStart w:id="178" w:name="2.2.3订单回执报文头描述"/>
      <w:bookmarkEnd w:id="178"/>
      <w:bookmarkStart w:id="179" w:name="_bookmark17"/>
      <w:bookmarkEnd w:id="179"/>
      <w:bookmarkStart w:id="180" w:name="2.2.2订单回执报文根节点"/>
      <w:bookmarkEnd w:id="180"/>
      <w:bookmarkStart w:id="181" w:name="_bookmark19"/>
      <w:bookmarkEnd w:id="181"/>
      <w:bookmarkStart w:id="182" w:name="_Toc21965"/>
      <w:bookmarkStart w:id="183" w:name="_Toc28190"/>
      <w:bookmarkStart w:id="184" w:name="_Toc80263646"/>
      <w:r>
        <w:rPr>
          <w:rFonts w:hint="eastAsia" w:ascii="黑体" w:hAnsi="黑体" w:eastAsia="黑体" w:cs="黑体"/>
          <w:sz w:val="21"/>
          <w:szCs w:val="21"/>
          <w:lang w:val="en-US" w:eastAsia="zh-CN" w:bidi="ar-SA"/>
        </w:rPr>
        <w:t>B.5  退货物流单申报报文</w:t>
      </w:r>
      <w:bookmarkEnd w:id="182"/>
      <w:r>
        <w:rPr>
          <w:rFonts w:hint="eastAsia" w:ascii="黑体" w:hAnsi="黑体" w:eastAsia="黑体" w:cs="黑体"/>
          <w:sz w:val="21"/>
          <w:szCs w:val="21"/>
          <w:lang w:val="en-US" w:eastAsia="zh-CN" w:bidi="ar-SA"/>
        </w:rPr>
        <w:t>【DEN505】</w:t>
      </w:r>
      <w:bookmarkEnd w:id="183"/>
      <w:bookmarkEnd w:id="184"/>
    </w:p>
    <w:p>
      <w:pPr>
        <w:keepNext w:val="0"/>
        <w:keepLines w:val="0"/>
        <w:pageBreakBefore w:val="0"/>
        <w:widowControl/>
        <w:numPr>
          <w:ilvl w:val="-1"/>
          <w:numId w:val="0"/>
        </w:numPr>
        <w:tabs>
          <w:tab w:val="left" w:pos="0"/>
          <w:tab w:val="center" w:pos="4201"/>
          <w:tab w:val="right" w:leader="dot" w:pos="9298"/>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hAnsi="Times New Roman" w:eastAsia="黑体" w:cs="Times New Roman"/>
          <w:sz w:val="21"/>
          <w:szCs w:val="22"/>
          <w:lang w:val="en-US" w:eastAsia="zh-CN" w:bidi="ar-SA"/>
        </w:rPr>
      </w:pPr>
      <w:bookmarkStart w:id="185" w:name="_Toc80263647"/>
      <w:r>
        <w:rPr>
          <w:rFonts w:hint="eastAsia" w:ascii="黑体" w:hAnsi="Times New Roman" w:eastAsia="黑体" w:cs="Times New Roman"/>
          <w:sz w:val="21"/>
          <w:szCs w:val="22"/>
          <w:lang w:val="en-US" w:eastAsia="zh-CN" w:bidi="ar-SA"/>
        </w:rPr>
        <w:t>B.5.1  退货物流单报文结构</w:t>
      </w:r>
      <w:bookmarkEnd w:id="185"/>
    </w:p>
    <w:p>
      <w:pPr>
        <w:widowControl w:val="0"/>
        <w:autoSpaceDE w:val="0"/>
        <w:autoSpaceDN w:val="0"/>
        <w:spacing w:before="9"/>
        <w:jc w:val="center"/>
        <w:rPr>
          <w:rFonts w:ascii="宋体" w:hAnsi="宋体" w:eastAsia="宋体" w:cs="宋体"/>
          <w:sz w:val="24"/>
          <w:szCs w:val="24"/>
          <w:lang w:val="zh-CN" w:eastAsia="zh-CN" w:bidi="zh-CN"/>
        </w:rPr>
      </w:pPr>
      <w:r>
        <w:rPr>
          <w:rFonts w:ascii="宋体" w:hAnsi="宋体" w:eastAsia="宋体" w:cs="宋体"/>
          <w:sz w:val="24"/>
          <w:szCs w:val="24"/>
          <w:lang w:val="zh-CN" w:eastAsia="zh-CN" w:bidi="zh-CN"/>
        </w:rPr>
        <w:drawing>
          <wp:inline distT="0" distB="0" distL="114300" distR="114300">
            <wp:extent cx="5210175" cy="2543175"/>
            <wp:effectExtent l="0" t="0" r="9525" b="9525"/>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27"/>
                    <a:stretch>
                      <a:fillRect/>
                    </a:stretch>
                  </pic:blipFill>
                  <pic:spPr>
                    <a:xfrm>
                      <a:off x="0" y="0"/>
                      <a:ext cx="5210175" cy="2543175"/>
                    </a:xfrm>
                    <a:prstGeom prst="rect">
                      <a:avLst/>
                    </a:prstGeom>
                    <a:noFill/>
                    <a:ln>
                      <a:noFill/>
                    </a:ln>
                  </pic:spPr>
                </pic:pic>
              </a:graphicData>
            </a:graphic>
          </wp:inline>
        </w:drawing>
      </w:r>
    </w:p>
    <w:p>
      <w:pPr>
        <w:keepNext/>
        <w:keepLines/>
        <w:widowControl w:val="0"/>
        <w:numPr>
          <w:ilvl w:val="255"/>
          <w:numId w:val="0"/>
        </w:numPr>
        <w:tabs>
          <w:tab w:val="left" w:pos="0"/>
        </w:tabs>
        <w:autoSpaceDE w:val="0"/>
        <w:autoSpaceDN w:val="0"/>
        <w:spacing w:before="156" w:beforeLines="50" w:after="156" w:afterLines="50"/>
        <w:ind w:left="0" w:firstLine="0"/>
        <w:jc w:val="center"/>
        <w:outlineLvl w:val="2"/>
        <w:rPr>
          <w:rFonts w:hint="default" w:ascii="黑体" w:hAnsi="黑体" w:eastAsia="黑体" w:cs="黑体"/>
          <w:bCs w:val="0"/>
          <w:kern w:val="2"/>
          <w:sz w:val="21"/>
          <w:szCs w:val="21"/>
          <w:lang w:val="en-US" w:eastAsia="zh-CN" w:bidi="ar-SA"/>
        </w:rPr>
      </w:pPr>
      <w:r>
        <w:rPr>
          <w:rFonts w:hint="eastAsia" w:ascii="黑体" w:hAnsi="黑体" w:eastAsia="黑体" w:cs="黑体"/>
          <w:bCs w:val="0"/>
          <w:kern w:val="2"/>
          <w:sz w:val="21"/>
          <w:szCs w:val="21"/>
          <w:lang w:val="en-US" w:eastAsia="zh-CN" w:bidi="ar-SA"/>
        </w:rPr>
        <w:t>图B.5  退货订单回执报文结构</w:t>
      </w:r>
    </w:p>
    <w:p>
      <w:pPr>
        <w:keepNext w:val="0"/>
        <w:keepLines w:val="0"/>
        <w:pageBreakBefore w:val="0"/>
        <w:widowControl/>
        <w:numPr>
          <w:ilvl w:val="-1"/>
          <w:numId w:val="0"/>
        </w:numPr>
        <w:tabs>
          <w:tab w:val="left" w:pos="0"/>
          <w:tab w:val="center" w:pos="4201"/>
          <w:tab w:val="right" w:leader="dot" w:pos="9298"/>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hAnsi="Times New Roman" w:eastAsia="黑体" w:cs="Times New Roman"/>
          <w:sz w:val="21"/>
          <w:szCs w:val="22"/>
          <w:lang w:val="en-US" w:eastAsia="zh-CN" w:bidi="ar-SA"/>
        </w:rPr>
      </w:pPr>
      <w:bookmarkStart w:id="186" w:name="_Toc80263648"/>
      <w:r>
        <w:rPr>
          <w:rFonts w:hint="eastAsia" w:ascii="黑体" w:hAnsi="Times New Roman" w:eastAsia="黑体" w:cs="Times New Roman"/>
          <w:sz w:val="21"/>
          <w:szCs w:val="22"/>
          <w:lang w:val="en-US" w:eastAsia="zh-CN" w:bidi="ar-SA"/>
        </w:rPr>
        <w:t>B.5.1  退货物流单根节点</w:t>
      </w:r>
      <w:bookmarkEnd w:id="186"/>
    </w:p>
    <w:p>
      <w:pPr>
        <w:autoSpaceDE w:val="0"/>
        <w:autoSpaceDN w:val="0"/>
        <w:bidi w:val="0"/>
        <w:ind w:firstLine="440" w:firstLineChars="200"/>
        <w:jc w:val="left"/>
        <w:rPr>
          <w:rFonts w:hint="default" w:ascii="宋体" w:hAnsi="宋体" w:eastAsia="宋体" w:cs="宋体"/>
          <w:kern w:val="0"/>
          <w:sz w:val="22"/>
          <w:szCs w:val="22"/>
          <w:lang w:val="en-US" w:eastAsia="zh-CN" w:bidi="zh-CN"/>
        </w:rPr>
      </w:pPr>
      <w:r>
        <w:rPr>
          <w:rFonts w:hint="eastAsia" w:ascii="宋体" w:hAnsi="宋体" w:eastAsia="宋体" w:cs="宋体"/>
          <w:kern w:val="0"/>
          <w:sz w:val="22"/>
          <w:szCs w:val="22"/>
          <w:lang w:val="en-US" w:eastAsia="zh-CN" w:bidi="zh-CN"/>
        </w:rPr>
        <w:t>DEN505</w:t>
      </w:r>
      <w:r>
        <w:rPr>
          <w:rFonts w:hint="default" w:ascii="宋体" w:hAnsi="宋体" w:eastAsia="宋体" w:cs="宋体"/>
          <w:kern w:val="0"/>
          <w:sz w:val="22"/>
          <w:szCs w:val="22"/>
          <w:lang w:val="en-US" w:eastAsia="zh-CN" w:bidi="zh-CN"/>
        </w:rPr>
        <w:t>Message 为订单报文 XML 根节点名称，包括 guid 和 version 两个属性，</w:t>
      </w:r>
      <w:r>
        <w:rPr>
          <w:rFonts w:hint="eastAsia" w:ascii="宋体" w:hAnsi="宋体" w:eastAsia="宋体" w:cs="宋体"/>
          <w:kern w:val="0"/>
          <w:sz w:val="22"/>
          <w:szCs w:val="22"/>
          <w:lang w:val="en-US" w:eastAsia="zh-CN" w:bidi="zh-CN"/>
        </w:rPr>
        <w:t>见</w:t>
      </w:r>
      <w:r>
        <w:rPr>
          <w:rFonts w:hint="default" w:ascii="宋体" w:hAnsi="宋体" w:eastAsia="宋体" w:cs="宋体"/>
          <w:kern w:val="0"/>
          <w:sz w:val="22"/>
          <w:szCs w:val="22"/>
          <w:lang w:val="en-US" w:eastAsia="zh-CN" w:bidi="zh-CN"/>
        </w:rPr>
        <w:t>表</w:t>
      </w:r>
      <w:r>
        <w:rPr>
          <w:rFonts w:hint="eastAsia" w:ascii="宋体" w:hAnsi="宋体" w:eastAsia="宋体" w:cs="宋体"/>
          <w:kern w:val="0"/>
          <w:sz w:val="22"/>
          <w:szCs w:val="22"/>
          <w:lang w:val="en-US" w:eastAsia="zh-CN" w:bidi="zh-CN"/>
        </w:rPr>
        <w:t>B.12</w:t>
      </w:r>
      <w:r>
        <w:rPr>
          <w:rFonts w:hint="default" w:ascii="宋体" w:hAnsi="宋体" w:eastAsia="宋体" w:cs="宋体"/>
          <w:kern w:val="0"/>
          <w:sz w:val="22"/>
          <w:szCs w:val="22"/>
          <w:lang w:val="en-US" w:eastAsia="zh-CN" w:bidi="zh-CN"/>
        </w:rPr>
        <w:t>。</w:t>
      </w:r>
    </w:p>
    <w:p>
      <w:pPr>
        <w:keepNext/>
        <w:keepLines/>
        <w:widowControl w:val="0"/>
        <w:numPr>
          <w:ilvl w:val="255"/>
          <w:numId w:val="0"/>
        </w:numPr>
        <w:tabs>
          <w:tab w:val="left" w:pos="0"/>
        </w:tabs>
        <w:autoSpaceDE/>
        <w:autoSpaceDN/>
        <w:spacing w:before="156" w:beforeLines="50" w:after="156" w:afterLines="50"/>
        <w:ind w:left="0" w:firstLine="0"/>
        <w:jc w:val="center"/>
        <w:outlineLvl w:val="2"/>
        <w:rPr>
          <w:rFonts w:hint="eastAsia" w:ascii="黑体" w:hAnsi="黑体" w:eastAsia="黑体" w:cs="黑体"/>
          <w:bCs w:val="0"/>
          <w:kern w:val="2"/>
          <w:sz w:val="21"/>
          <w:szCs w:val="21"/>
          <w:lang w:val="en-US" w:eastAsia="zh-CN" w:bidi="ar-SA"/>
        </w:rPr>
      </w:pPr>
      <w:r>
        <w:rPr>
          <w:rFonts w:hint="eastAsia" w:ascii="黑体" w:hAnsi="黑体" w:eastAsia="黑体" w:cs="黑体"/>
          <w:bCs w:val="0"/>
          <w:kern w:val="2"/>
          <w:sz w:val="21"/>
          <w:szCs w:val="21"/>
          <w:lang w:val="en-US" w:eastAsia="zh-CN" w:bidi="ar-SA"/>
        </w:rPr>
        <w:t>表B.16  DEN505Message节点的属性</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23"/>
        <w:gridCol w:w="1123"/>
        <w:gridCol w:w="900"/>
        <w:gridCol w:w="677"/>
        <w:gridCol w:w="46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23" w:type="dxa"/>
            <w:tcBorders>
              <w:bottom w:val="single" w:color="000000" w:sz="12" w:space="0"/>
            </w:tcBorders>
            <w:noWrap w:val="0"/>
            <w:vAlign w:val="center"/>
          </w:tcPr>
          <w:p>
            <w:pPr>
              <w:widowControl w:val="0"/>
              <w:autoSpaceDE w:val="0"/>
              <w:autoSpaceDN w:val="0"/>
              <w:spacing w:before="21"/>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名称</w:t>
            </w:r>
          </w:p>
        </w:tc>
        <w:tc>
          <w:tcPr>
            <w:tcW w:w="1123" w:type="dxa"/>
            <w:tcBorders>
              <w:bottom w:val="single" w:color="000000" w:sz="12" w:space="0"/>
            </w:tcBorders>
            <w:noWrap w:val="0"/>
            <w:vAlign w:val="center"/>
          </w:tcPr>
          <w:p>
            <w:pPr>
              <w:widowControl w:val="0"/>
              <w:autoSpaceDE w:val="0"/>
              <w:autoSpaceDN w:val="0"/>
              <w:spacing w:before="21"/>
              <w:ind w:left="107"/>
              <w:rPr>
                <w:rFonts w:ascii="宋体" w:hAnsi="宋体" w:eastAsia="宋体" w:cs="宋体"/>
                <w:sz w:val="18"/>
                <w:szCs w:val="18"/>
                <w:lang w:val="zh-CN" w:eastAsia="zh-CN" w:bidi="zh-CN"/>
              </w:rPr>
            </w:pPr>
            <w:r>
              <w:rPr>
                <w:rFonts w:ascii="宋体" w:hAnsi="宋体" w:eastAsia="宋体" w:cs="宋体"/>
                <w:sz w:val="18"/>
                <w:szCs w:val="18"/>
                <w:lang w:val="zh-CN" w:eastAsia="zh-CN" w:bidi="zh-CN"/>
              </w:rPr>
              <w:t>英文名称</w:t>
            </w:r>
          </w:p>
        </w:tc>
        <w:tc>
          <w:tcPr>
            <w:tcW w:w="900" w:type="dxa"/>
            <w:tcBorders>
              <w:bottom w:val="single" w:color="000000" w:sz="12" w:space="0"/>
            </w:tcBorders>
            <w:noWrap w:val="0"/>
            <w:vAlign w:val="center"/>
          </w:tcPr>
          <w:p>
            <w:pPr>
              <w:widowControl w:val="0"/>
              <w:autoSpaceDE w:val="0"/>
              <w:autoSpaceDN w:val="0"/>
              <w:spacing w:before="21"/>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类型</w:t>
            </w:r>
          </w:p>
        </w:tc>
        <w:tc>
          <w:tcPr>
            <w:tcW w:w="677" w:type="dxa"/>
            <w:tcBorders>
              <w:bottom w:val="single" w:color="000000" w:sz="12" w:space="0"/>
            </w:tcBorders>
            <w:noWrap w:val="0"/>
            <w:vAlign w:val="center"/>
          </w:tcPr>
          <w:p>
            <w:pPr>
              <w:widowControl w:val="0"/>
              <w:autoSpaceDE w:val="0"/>
              <w:autoSpaceDN w:val="0"/>
              <w:spacing w:before="21"/>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必填</w:t>
            </w:r>
          </w:p>
        </w:tc>
        <w:tc>
          <w:tcPr>
            <w:tcW w:w="4699" w:type="dxa"/>
            <w:tcBorders>
              <w:bottom w:val="single" w:color="000000" w:sz="12" w:space="0"/>
            </w:tcBorders>
            <w:noWrap w:val="0"/>
            <w:vAlign w:val="center"/>
          </w:tcPr>
          <w:p>
            <w:pPr>
              <w:widowControl w:val="0"/>
              <w:autoSpaceDE w:val="0"/>
              <w:autoSpaceDN w:val="0"/>
              <w:spacing w:before="21"/>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23" w:type="dxa"/>
            <w:tcBorders>
              <w:top w:val="single" w:color="000000" w:sz="12" w:space="0"/>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报文编号</w:t>
            </w:r>
          </w:p>
        </w:tc>
        <w:tc>
          <w:tcPr>
            <w:tcW w:w="1123" w:type="dxa"/>
            <w:tcBorders>
              <w:top w:val="single" w:color="000000" w:sz="12" w:space="0"/>
              <w:tl2br w:val="nil"/>
              <w:tr2bl w:val="nil"/>
            </w:tcBorders>
            <w:noWrap w:val="0"/>
            <w:vAlign w:val="center"/>
          </w:tcPr>
          <w:p>
            <w:pPr>
              <w:widowControl w:val="0"/>
              <w:autoSpaceDE w:val="0"/>
              <w:autoSpaceDN w:val="0"/>
              <w:spacing w:before="20"/>
              <w:ind w:left="107"/>
              <w:rPr>
                <w:rFonts w:ascii="宋体" w:hAnsi="宋体" w:eastAsia="宋体" w:cs="宋体"/>
                <w:sz w:val="18"/>
                <w:szCs w:val="18"/>
                <w:lang w:val="zh-CN" w:eastAsia="zh-CN" w:bidi="zh-CN"/>
              </w:rPr>
            </w:pPr>
            <w:r>
              <w:rPr>
                <w:rFonts w:ascii="宋体" w:hAnsi="宋体" w:eastAsia="宋体" w:cs="宋体"/>
                <w:sz w:val="18"/>
                <w:szCs w:val="18"/>
                <w:lang w:val="zh-CN" w:eastAsia="zh-CN" w:bidi="zh-CN"/>
              </w:rPr>
              <w:t>guid</w:t>
            </w:r>
          </w:p>
        </w:tc>
        <w:tc>
          <w:tcPr>
            <w:tcW w:w="900" w:type="dxa"/>
            <w:tcBorders>
              <w:top w:val="single" w:color="000000" w:sz="12" w:space="0"/>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an36</w:t>
            </w:r>
          </w:p>
        </w:tc>
        <w:tc>
          <w:tcPr>
            <w:tcW w:w="677" w:type="dxa"/>
            <w:tcBorders>
              <w:top w:val="single" w:color="000000" w:sz="12" w:space="0"/>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w w:val="99"/>
                <w:sz w:val="18"/>
                <w:szCs w:val="18"/>
                <w:lang w:val="zh-CN" w:eastAsia="zh-CN" w:bidi="zh-CN"/>
              </w:rPr>
              <w:t>是</w:t>
            </w:r>
          </w:p>
        </w:tc>
        <w:tc>
          <w:tcPr>
            <w:tcW w:w="4699" w:type="dxa"/>
            <w:tcBorders>
              <w:top w:val="single" w:color="000000" w:sz="12" w:space="0"/>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报文的36位系统唯一序号（英文字母大写）。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23"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版本号</w:t>
            </w:r>
          </w:p>
        </w:tc>
        <w:tc>
          <w:tcPr>
            <w:tcW w:w="1123" w:type="dxa"/>
            <w:tcBorders>
              <w:tl2br w:val="nil"/>
              <w:tr2bl w:val="nil"/>
            </w:tcBorders>
            <w:noWrap w:val="0"/>
            <w:vAlign w:val="center"/>
          </w:tcPr>
          <w:p>
            <w:pPr>
              <w:widowControl w:val="0"/>
              <w:autoSpaceDE w:val="0"/>
              <w:autoSpaceDN w:val="0"/>
              <w:spacing w:before="20"/>
              <w:ind w:left="107"/>
              <w:rPr>
                <w:rFonts w:ascii="宋体" w:hAnsi="宋体" w:eastAsia="宋体" w:cs="宋体"/>
                <w:sz w:val="18"/>
                <w:szCs w:val="18"/>
                <w:lang w:val="zh-CN" w:eastAsia="zh-CN" w:bidi="zh-CN"/>
              </w:rPr>
            </w:pPr>
            <w:r>
              <w:rPr>
                <w:rFonts w:ascii="宋体" w:hAnsi="宋体" w:eastAsia="宋体" w:cs="宋体"/>
                <w:sz w:val="18"/>
                <w:szCs w:val="18"/>
                <w:lang w:val="zh-CN" w:eastAsia="zh-CN" w:bidi="zh-CN"/>
              </w:rPr>
              <w:t>version</w:t>
            </w:r>
          </w:p>
        </w:tc>
        <w:tc>
          <w:tcPr>
            <w:tcW w:w="900" w:type="dxa"/>
            <w:tcBorders>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an..10</w:t>
            </w:r>
          </w:p>
        </w:tc>
        <w:tc>
          <w:tcPr>
            <w:tcW w:w="677" w:type="dxa"/>
            <w:tcBorders>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w w:val="99"/>
                <w:sz w:val="18"/>
                <w:szCs w:val="18"/>
                <w:lang w:val="zh-CN" w:eastAsia="zh-CN" w:bidi="zh-CN"/>
              </w:rPr>
              <w:t>是</w:t>
            </w:r>
          </w:p>
        </w:tc>
        <w:tc>
          <w:tcPr>
            <w:tcW w:w="4699"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报文版本号，默认为1.0</w:t>
            </w:r>
          </w:p>
        </w:tc>
      </w:tr>
    </w:tbl>
    <w:p>
      <w:pPr>
        <w:keepNext w:val="0"/>
        <w:keepLines w:val="0"/>
        <w:pageBreakBefore w:val="0"/>
        <w:widowControl/>
        <w:numPr>
          <w:ilvl w:val="-1"/>
          <w:numId w:val="0"/>
        </w:numPr>
        <w:tabs>
          <w:tab w:val="left" w:pos="0"/>
          <w:tab w:val="center" w:pos="4201"/>
          <w:tab w:val="right" w:leader="dot" w:pos="9298"/>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hAnsi="Times New Roman" w:eastAsia="黑体" w:cs="Times New Roman"/>
          <w:sz w:val="21"/>
          <w:szCs w:val="22"/>
          <w:lang w:val="en-US" w:eastAsia="zh-CN" w:bidi="ar-SA"/>
        </w:rPr>
      </w:pPr>
      <w:bookmarkStart w:id="187" w:name="_Toc80263649"/>
      <w:r>
        <w:rPr>
          <w:rFonts w:hint="eastAsia" w:ascii="黑体" w:hAnsi="Times New Roman" w:eastAsia="黑体" w:cs="Times New Roman"/>
          <w:sz w:val="21"/>
          <w:szCs w:val="22"/>
          <w:lang w:val="en-US" w:eastAsia="zh-CN" w:bidi="ar-SA"/>
        </w:rPr>
        <w:t>B.5.2  退货物流单业务节点描述</w:t>
      </w:r>
      <w:bookmarkEnd w:id="187"/>
    </w:p>
    <w:p>
      <w:pPr>
        <w:numPr>
          <w:ilvl w:val="-1"/>
          <w:numId w:val="0"/>
        </w:numPr>
        <w:tabs>
          <w:tab w:val="left" w:pos="0"/>
          <w:tab w:val="center" w:pos="4201"/>
          <w:tab w:val="right" w:leader="dot" w:pos="9298"/>
        </w:tabs>
        <w:autoSpaceDE w:val="0"/>
        <w:autoSpaceDN w:val="0"/>
        <w:ind w:left="0" w:leftChars="0" w:firstLine="420" w:firstLineChars="200"/>
        <w:jc w:val="both"/>
        <w:rPr>
          <w:rFonts w:hint="eastAsia" w:ascii="宋体" w:hAnsi="Times New Roman" w:eastAsia="宋体" w:cs="Times New Roman"/>
          <w:sz w:val="21"/>
          <w:szCs w:val="22"/>
          <w:lang w:val="en-US" w:eastAsia="zh-CN" w:bidi="ar-SA"/>
        </w:rPr>
      </w:pPr>
      <w:r>
        <w:rPr>
          <w:rFonts w:hint="eastAsia" w:ascii="宋体" w:hAnsi="Times New Roman" w:eastAsia="宋体" w:cs="Times New Roman"/>
          <w:sz w:val="21"/>
          <w:szCs w:val="22"/>
          <w:lang w:val="en-US" w:eastAsia="zh-CN" w:bidi="ar-SA"/>
        </w:rPr>
        <w:t>退货物流单业务节点描述见表17。</w:t>
      </w:r>
    </w:p>
    <w:p>
      <w:pPr>
        <w:keepNext/>
        <w:keepLines/>
        <w:widowControl w:val="0"/>
        <w:numPr>
          <w:ilvl w:val="255"/>
          <w:numId w:val="0"/>
        </w:numPr>
        <w:tabs>
          <w:tab w:val="left" w:pos="0"/>
        </w:tabs>
        <w:autoSpaceDE w:val="0"/>
        <w:autoSpaceDN w:val="0"/>
        <w:spacing w:before="156" w:beforeLines="50" w:after="156" w:afterLines="50"/>
        <w:ind w:left="0" w:firstLine="0"/>
        <w:jc w:val="center"/>
        <w:outlineLvl w:val="2"/>
        <w:rPr>
          <w:rFonts w:hint="eastAsia" w:ascii="黑体" w:hAnsi="黑体" w:eastAsia="黑体" w:cs="黑体"/>
          <w:bCs w:val="0"/>
          <w:kern w:val="2"/>
          <w:sz w:val="21"/>
          <w:szCs w:val="21"/>
          <w:lang w:val="en-US" w:eastAsia="zh-CN" w:bidi="ar-SA"/>
        </w:rPr>
      </w:pPr>
      <w:r>
        <w:rPr>
          <w:rFonts w:hint="eastAsia" w:ascii="黑体" w:hAnsi="黑体" w:eastAsia="黑体" w:cs="黑体"/>
          <w:bCs w:val="0"/>
          <w:kern w:val="2"/>
          <w:sz w:val="21"/>
          <w:szCs w:val="21"/>
          <w:lang w:val="en-US" w:eastAsia="zh-CN" w:bidi="ar-SA"/>
        </w:rPr>
        <w:t>表B.17  退货物流单业务节点描述</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13" w:type="dxa"/>
          <w:bottom w:w="0" w:type="dxa"/>
          <w:right w:w="0" w:type="dxa"/>
        </w:tblCellMar>
      </w:tblPr>
      <w:tblGrid>
        <w:gridCol w:w="1981"/>
        <w:gridCol w:w="1698"/>
        <w:gridCol w:w="1108"/>
        <w:gridCol w:w="715"/>
        <w:gridCol w:w="301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widowControl w:val="0"/>
              <w:autoSpaceDE w:val="0"/>
              <w:autoSpaceDN w:val="0"/>
              <w:spacing w:before="21"/>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中文名称</w:t>
            </w:r>
          </w:p>
        </w:tc>
        <w:tc>
          <w:tcPr>
            <w:tcW w:w="1698" w:type="dxa"/>
            <w:tcBorders>
              <w:tl2br w:val="nil"/>
              <w:tr2bl w:val="nil"/>
            </w:tcBorders>
            <w:noWrap w:val="0"/>
            <w:vAlign w:val="center"/>
          </w:tcPr>
          <w:p>
            <w:pPr>
              <w:widowControl w:val="0"/>
              <w:autoSpaceDE w:val="0"/>
              <w:autoSpaceDN w:val="0"/>
              <w:spacing w:before="21"/>
              <w:ind w:left="106"/>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英文名称</w:t>
            </w:r>
          </w:p>
        </w:tc>
        <w:tc>
          <w:tcPr>
            <w:tcW w:w="1108" w:type="dxa"/>
            <w:tcBorders>
              <w:tl2br w:val="nil"/>
              <w:tr2bl w:val="nil"/>
            </w:tcBorders>
            <w:noWrap w:val="0"/>
            <w:vAlign w:val="center"/>
          </w:tcPr>
          <w:p>
            <w:pPr>
              <w:widowControl w:val="0"/>
              <w:autoSpaceDE w:val="0"/>
              <w:autoSpaceDN w:val="0"/>
              <w:spacing w:before="21"/>
              <w:ind w:left="106"/>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数据格式</w:t>
            </w:r>
          </w:p>
        </w:tc>
        <w:tc>
          <w:tcPr>
            <w:tcW w:w="715" w:type="dxa"/>
            <w:tcBorders>
              <w:tl2br w:val="nil"/>
              <w:tr2bl w:val="nil"/>
            </w:tcBorders>
            <w:noWrap w:val="0"/>
            <w:vAlign w:val="center"/>
          </w:tcPr>
          <w:p>
            <w:pPr>
              <w:widowControl w:val="0"/>
              <w:autoSpaceDE w:val="0"/>
              <w:autoSpaceDN w:val="0"/>
              <w:spacing w:before="21"/>
              <w:ind w:left="106"/>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必填</w:t>
            </w:r>
          </w:p>
        </w:tc>
        <w:tc>
          <w:tcPr>
            <w:tcW w:w="3019" w:type="dxa"/>
            <w:tcBorders>
              <w:tl2br w:val="nil"/>
              <w:tr2bl w:val="nil"/>
            </w:tcBorders>
            <w:noWrap w:val="0"/>
            <w:vAlign w:val="center"/>
          </w:tcPr>
          <w:p>
            <w:pPr>
              <w:widowControl w:val="0"/>
              <w:autoSpaceDE w:val="0"/>
              <w:autoSpaceDN w:val="0"/>
              <w:spacing w:before="21"/>
              <w:ind w:left="106"/>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8521" w:type="dxa"/>
            <w:gridSpan w:val="5"/>
            <w:tcBorders>
              <w:tl2br w:val="nil"/>
              <w:tr2bl w:val="nil"/>
            </w:tcBorders>
            <w:noWrap w:val="0"/>
            <w:vAlign w:val="center"/>
          </w:tcPr>
          <w:p>
            <w:pPr>
              <w:widowControl w:val="0"/>
              <w:autoSpaceDE w:val="0"/>
              <w:autoSpaceDN w:val="0"/>
              <w:spacing w:before="20"/>
              <w:ind w:left="2654" w:right="2649"/>
              <w:jc w:val="center"/>
              <w:rPr>
                <w:rFonts w:hint="eastAsia" w:ascii="宋体" w:hAnsi="宋体" w:eastAsia="宋体" w:cs="宋体"/>
                <w:sz w:val="18"/>
                <w:szCs w:val="18"/>
                <w:lang w:val="en-US" w:eastAsia="zh-CN" w:bidi="zh-CN"/>
              </w:rPr>
            </w:pPr>
            <w:r>
              <w:rPr>
                <w:rFonts w:hint="eastAsia" w:ascii="宋体" w:hAnsi="宋体" w:eastAsia="宋体" w:cs="宋体"/>
                <w:sz w:val="18"/>
                <w:szCs w:val="18"/>
                <w:lang w:val="en-US" w:eastAsia="zh-CN" w:bidi="zh-CN"/>
              </w:rPr>
              <w:t>RefundLogistics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系统唯一序号</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guid</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C36</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企业系统生成36位唯一序号（英文字母大写）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报送类型</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appType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企业报送类型。1-新增 2-变更 3-删除。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报送时间</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appTime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C14</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企业报送时间 格式:YYYYMMDDhhmmss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报送状态</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appStatus</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企业报送状态。默认填写2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lang w:val="zh-CN"/>
              </w:rPr>
            </w:pPr>
            <w:r>
              <w:rPr>
                <w:rFonts w:hint="eastAsia" w:ascii="宋体" w:hAnsi="宋体" w:eastAsia="宋体" w:cs="宋体"/>
                <w:sz w:val="18"/>
                <w:szCs w:val="18"/>
              </w:rPr>
              <w:t>出口运单号</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declLogisticsNo</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C..80</w:t>
            </w:r>
          </w:p>
        </w:tc>
        <w:tc>
          <w:tcPr>
            <w:tcW w:w="715" w:type="dxa"/>
            <w:tcBorders>
              <w:tl2br w:val="nil"/>
              <w:tr2bl w:val="nil"/>
            </w:tcBorders>
            <w:noWrap w:val="0"/>
            <w:vAlign w:val="center"/>
          </w:tcPr>
          <w:p>
            <w:pPr>
              <w:pStyle w:val="47"/>
              <w:jc w:val="center"/>
              <w:rPr>
                <w:rFonts w:hint="eastAsia" w:ascii="宋体" w:hAnsi="宋体" w:eastAsia="宋体" w:cs="宋体"/>
                <w:sz w:val="18"/>
                <w:szCs w:val="18"/>
                <w:lang w:val="zh-CN"/>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出口运单号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出口物流申报企业名称</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declLogisticsName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C..100</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溯源出口运单申报的企业主体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出口物流申报企业编码</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declLogisticsCode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C..18</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出口运单申报主体在海关系统的备案编码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出口离境口岸代码</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departurePortCode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C4</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溯源退货包裹在出口时的出口口岸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出口离境时间</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departureTime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C14</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溯源退货包裹出口离境时间格式:YYYYMMDDhhmmss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出口结关时间</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clearanceTime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C14</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溯源退货包裹出口结时间，只有完成出口结关的货物才能办理退货。格式:YYYYMMDDhhmmss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出口运抵国别</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tradeCountry</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溯源退货包裹出口运抵国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出口运抵境外城市名称</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tradeCity</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C..128</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ind w:left="44"/>
              <w:jc w:val="center"/>
              <w:rPr>
                <w:rFonts w:hint="eastAsia" w:ascii="宋体" w:hAnsi="宋体" w:eastAsia="宋体" w:cs="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出口运抵境外城市时间</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tradeCityTime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C14</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格式:YYYYMMDDhhmmss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境外清关城市</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overseasClearanceCity</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C..128</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ind w:left="44"/>
              <w:jc w:val="center"/>
              <w:rPr>
                <w:rFonts w:hint="eastAsia" w:ascii="宋体" w:hAnsi="宋体" w:eastAsia="宋体" w:cs="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运抵境外清关城市时间</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overseasClearanceCityTime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C14</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格式:YYYYMMDDhhmmss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境外清关是否成功</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overseasClearance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yes-成功，no-不成功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境外配送分拨仓地址</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overseasDeliveryLocation</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C..256</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否</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color w:val="000000"/>
                <w:sz w:val="18"/>
                <w:szCs w:val="18"/>
              </w:rPr>
              <w:t>退货包裹在境外进口清关成功后运送至配送分拨仓的地址。</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运抵境外配送分拨仓时间</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overseasDeliveryLocationTime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C14</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否</w:t>
            </w:r>
          </w:p>
        </w:tc>
        <w:tc>
          <w:tcPr>
            <w:tcW w:w="30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退货包裹在境外进口清关成功后运送至配送分拨仓的时间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境外配送是否成功</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overseasDelivery</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否</w:t>
            </w:r>
          </w:p>
        </w:tc>
        <w:tc>
          <w:tcPr>
            <w:tcW w:w="3019"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溯源退货包裹在境外是否配送成功，成功“yes”，失败“no”，配送失败包裹属于未触达消费者退货，配送成功包裹的退货属于实际触达消费者退货。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退货运单号</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logisticsNo</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C..80</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毛重</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grossWeight</w:t>
            </w:r>
          </w:p>
        </w:tc>
        <w:tc>
          <w:tcPr>
            <w:tcW w:w="1108"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N19,5</w:t>
            </w:r>
          </w:p>
        </w:tc>
        <w:tc>
          <w:tcPr>
            <w:tcW w:w="715"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ind w:left="44"/>
              <w:jc w:val="center"/>
              <w:rPr>
                <w:rFonts w:hint="eastAsia" w:ascii="宋体" w:hAnsi="宋体" w:eastAsia="宋体" w:cs="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退货物流企业名称</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logisticsName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C..100</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溯源向海关申报退货包裹的物流企业主体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退货物流企业代码</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logisticsCode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C..18</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溯源退货物流企业在海关的备案编码。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境外退货分拨仓名称</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overseasLocation</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C..256</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溯源退货货物在境外分拨仓的名称。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运抵境外退货分拨仓时间</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overseasLocationTime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C14</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溯源退货货物在境外分拨仓的时间。格式:YYYYMMDDhhmmss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退货提运单号</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billNo</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C..37</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溯源退货货物的提运单号码。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退货境外启运地</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despPortCode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C50</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溯源退货包裹的启运地。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退货境外启运时间</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despPortTime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C14</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溯源退货包裹的启运时间。格式:YYYYMMDDhhmmss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进境监管场所名称</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entyLoctName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C..100</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入境时间</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entyTime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C14</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退货包裹进境时间，格式:YYYYMMDDhhmmss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入境口岸代码</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entyPortCode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C4</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溯源退货包裹进境口岸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监管口岸代码</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loctPortCode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C4</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溯源退货包裹清关口岸名称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退货运抵监管口岸时间</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loctPortTime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C14</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溯源退货包裹运抵清关口岸时间，格式:YYYYMMDDhhmmss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物流查询地址</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logisticsQueryUrl</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C...128</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否</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供监管人员查看包裹物流节点的链接地址</w:t>
            </w:r>
          </w:p>
        </w:tc>
      </w:tr>
    </w:tbl>
    <w:p>
      <w:pPr>
        <w:widowControl w:val="0"/>
        <w:autoSpaceDE w:val="0"/>
        <w:autoSpaceDN w:val="0"/>
        <w:spacing w:before="2"/>
        <w:rPr>
          <w:rFonts w:ascii="黑体" w:hAnsi="宋体" w:eastAsia="宋体" w:cs="宋体"/>
          <w:sz w:val="19"/>
          <w:szCs w:val="24"/>
          <w:lang w:val="zh-CN" w:eastAsia="zh-CN" w:bidi="zh-CN"/>
        </w:rPr>
      </w:pPr>
    </w:p>
    <w:p>
      <w:pPr>
        <w:keepNext w:val="0"/>
        <w:keepLines w:val="0"/>
        <w:pageBreakBefore w:val="0"/>
        <w:widowControl/>
        <w:numPr>
          <w:ilvl w:val="-1"/>
          <w:numId w:val="0"/>
        </w:numPr>
        <w:tabs>
          <w:tab w:val="left" w:pos="0"/>
          <w:tab w:val="center" w:pos="4201"/>
          <w:tab w:val="right" w:leader="dot" w:pos="9298"/>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hAnsi="Times New Roman" w:eastAsia="黑体" w:cs="Times New Roman"/>
          <w:sz w:val="21"/>
          <w:szCs w:val="22"/>
          <w:lang w:val="en-US" w:eastAsia="zh-CN" w:bidi="ar-SA"/>
        </w:rPr>
      </w:pPr>
      <w:r>
        <w:rPr>
          <w:rFonts w:hint="eastAsia" w:ascii="黑体" w:hAnsi="Times New Roman" w:eastAsia="黑体" w:cs="Times New Roman"/>
          <w:sz w:val="21"/>
          <w:szCs w:val="22"/>
          <w:lang w:val="en-US" w:eastAsia="zh-CN" w:bidi="ar-SA"/>
        </w:rPr>
        <w:t>B.5.3  基础报文传输实体节点</w:t>
      </w:r>
    </w:p>
    <w:p>
      <w:pPr>
        <w:numPr>
          <w:ilvl w:val="-1"/>
          <w:numId w:val="0"/>
        </w:numPr>
        <w:tabs>
          <w:tab w:val="left" w:pos="0"/>
          <w:tab w:val="center" w:pos="4201"/>
          <w:tab w:val="right" w:leader="dot" w:pos="9298"/>
        </w:tabs>
        <w:autoSpaceDE w:val="0"/>
        <w:autoSpaceDN w:val="0"/>
        <w:ind w:left="0" w:leftChars="0" w:firstLine="420" w:firstLineChars="200"/>
        <w:jc w:val="both"/>
        <w:rPr>
          <w:rFonts w:hint="eastAsia" w:ascii="宋体" w:hAnsi="Times New Roman" w:eastAsia="宋体" w:cs="Times New Roman"/>
          <w:sz w:val="21"/>
          <w:szCs w:val="22"/>
          <w:lang w:val="en-US" w:eastAsia="zh-CN" w:bidi="ar-SA"/>
        </w:rPr>
      </w:pPr>
      <w:r>
        <w:rPr>
          <w:rFonts w:hint="eastAsia" w:ascii="宋体" w:hAnsi="Times New Roman" w:eastAsia="宋体" w:cs="Times New Roman"/>
          <w:sz w:val="21"/>
          <w:szCs w:val="22"/>
          <w:lang w:val="en-US" w:eastAsia="zh-CN" w:bidi="ar-SA"/>
        </w:rPr>
        <w:t>基础报文传输实体节点见表B.18。</w:t>
      </w:r>
    </w:p>
    <w:p>
      <w:pPr>
        <w:keepNext/>
        <w:keepLines/>
        <w:widowControl w:val="0"/>
        <w:numPr>
          <w:ilvl w:val="255"/>
          <w:numId w:val="0"/>
        </w:numPr>
        <w:tabs>
          <w:tab w:val="left" w:pos="0"/>
        </w:tabs>
        <w:autoSpaceDE w:val="0"/>
        <w:autoSpaceDN w:val="0"/>
        <w:spacing w:before="156" w:beforeLines="50" w:after="156" w:afterLines="50"/>
        <w:ind w:left="0" w:firstLine="0"/>
        <w:jc w:val="center"/>
        <w:outlineLvl w:val="2"/>
        <w:rPr>
          <w:rFonts w:hint="eastAsia" w:ascii="黑体" w:hAnsi="黑体" w:eastAsia="黑体" w:cs="黑体"/>
          <w:bCs w:val="0"/>
          <w:kern w:val="2"/>
          <w:sz w:val="21"/>
          <w:szCs w:val="21"/>
          <w:lang w:val="en-US" w:eastAsia="zh-CN" w:bidi="ar-SA"/>
        </w:rPr>
      </w:pPr>
      <w:r>
        <w:rPr>
          <w:rFonts w:hint="eastAsia" w:ascii="黑体" w:hAnsi="黑体" w:eastAsia="黑体" w:cs="黑体"/>
          <w:bCs w:val="0"/>
          <w:kern w:val="2"/>
          <w:sz w:val="21"/>
          <w:szCs w:val="21"/>
          <w:lang w:val="en-US" w:eastAsia="zh-CN" w:bidi="ar-SA"/>
        </w:rPr>
        <w:t>表B.18  基础报文传输实体节点</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81"/>
        <w:gridCol w:w="980"/>
        <w:gridCol w:w="947"/>
        <w:gridCol w:w="692"/>
        <w:gridCol w:w="452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81"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中文名称</w:t>
            </w:r>
          </w:p>
        </w:tc>
        <w:tc>
          <w:tcPr>
            <w:tcW w:w="980"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英文名称</w:t>
            </w:r>
          </w:p>
        </w:tc>
        <w:tc>
          <w:tcPr>
            <w:tcW w:w="947"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数据格式</w:t>
            </w:r>
          </w:p>
        </w:tc>
        <w:tc>
          <w:tcPr>
            <w:tcW w:w="692"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必填</w:t>
            </w:r>
          </w:p>
        </w:tc>
        <w:tc>
          <w:tcPr>
            <w:tcW w:w="4521"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81"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传输企业代码</w:t>
            </w:r>
          </w:p>
        </w:tc>
        <w:tc>
          <w:tcPr>
            <w:tcW w:w="980"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copCode</w:t>
            </w:r>
          </w:p>
        </w:tc>
        <w:tc>
          <w:tcPr>
            <w:tcW w:w="947"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C..18</w:t>
            </w:r>
          </w:p>
        </w:tc>
        <w:tc>
          <w:tcPr>
            <w:tcW w:w="692"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4521"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报文传输的企业代码（需要与接入客户端的企业身份一致）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传输企业名称</w:t>
            </w:r>
          </w:p>
        </w:tc>
        <w:tc>
          <w:tcPr>
            <w:tcW w:w="980"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copName</w:t>
            </w:r>
          </w:p>
        </w:tc>
        <w:tc>
          <w:tcPr>
            <w:tcW w:w="947"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C..100</w:t>
            </w:r>
          </w:p>
        </w:tc>
        <w:tc>
          <w:tcPr>
            <w:tcW w:w="69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452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报文传输的企业名称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报文传输模式</w:t>
            </w:r>
          </w:p>
        </w:tc>
        <w:tc>
          <w:tcPr>
            <w:tcW w:w="980"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dxpMode</w:t>
            </w:r>
          </w:p>
        </w:tc>
        <w:tc>
          <w:tcPr>
            <w:tcW w:w="947"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w:t>
            </w:r>
          </w:p>
        </w:tc>
        <w:tc>
          <w:tcPr>
            <w:tcW w:w="69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452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默认为DXP；指中国电子口岸数据交换平台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报文传输编号</w:t>
            </w:r>
          </w:p>
        </w:tc>
        <w:tc>
          <w:tcPr>
            <w:tcW w:w="980"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dxpId</w:t>
            </w:r>
          </w:p>
        </w:tc>
        <w:tc>
          <w:tcPr>
            <w:tcW w:w="947"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C..30</w:t>
            </w:r>
          </w:p>
        </w:tc>
        <w:tc>
          <w:tcPr>
            <w:tcW w:w="69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452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向中国电子口岸数据中心申请数据交换平台的用户编号</w:t>
            </w:r>
          </w:p>
        </w:tc>
      </w:tr>
    </w:tbl>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157" w:beforeLines="50" w:after="157" w:afterLines="50"/>
        <w:ind w:leftChars="0"/>
        <w:jc w:val="both"/>
        <w:textAlignment w:val="auto"/>
        <w:outlineLvl w:val="1"/>
        <w:rPr>
          <w:rFonts w:hint="eastAsia" w:ascii="黑体" w:hAnsi="黑体" w:eastAsia="黑体" w:cs="黑体"/>
          <w:sz w:val="21"/>
          <w:szCs w:val="21"/>
          <w:lang w:val="en-US" w:eastAsia="zh-CN" w:bidi="ar-SA"/>
        </w:rPr>
      </w:pPr>
      <w:bookmarkStart w:id="188" w:name="_Toc20644"/>
      <w:bookmarkStart w:id="189" w:name="_Toc4460"/>
      <w:bookmarkStart w:id="190" w:name="_Toc80263650"/>
      <w:r>
        <w:rPr>
          <w:rFonts w:hint="eastAsia" w:ascii="黑体" w:hAnsi="黑体" w:eastAsia="黑体" w:cs="黑体"/>
          <w:sz w:val="21"/>
          <w:szCs w:val="21"/>
          <w:lang w:val="en-US" w:eastAsia="zh-CN" w:bidi="ar-SA"/>
        </w:rPr>
        <w:t>B.6  退货物流单回执报文</w:t>
      </w:r>
      <w:bookmarkEnd w:id="188"/>
      <w:r>
        <w:rPr>
          <w:rFonts w:hint="eastAsia" w:ascii="黑体" w:hAnsi="黑体" w:eastAsia="黑体" w:cs="黑体"/>
          <w:sz w:val="21"/>
          <w:szCs w:val="21"/>
          <w:lang w:val="en-US" w:eastAsia="zh-CN" w:bidi="ar-SA"/>
        </w:rPr>
        <w:t>【DEN506】</w:t>
      </w:r>
      <w:bookmarkEnd w:id="189"/>
      <w:bookmarkEnd w:id="190"/>
    </w:p>
    <w:p>
      <w:pPr>
        <w:keepNext w:val="0"/>
        <w:keepLines w:val="0"/>
        <w:pageBreakBefore w:val="0"/>
        <w:widowControl/>
        <w:numPr>
          <w:ilvl w:val="-1"/>
          <w:numId w:val="0"/>
        </w:numPr>
        <w:tabs>
          <w:tab w:val="left" w:pos="0"/>
          <w:tab w:val="center" w:pos="4201"/>
          <w:tab w:val="right" w:leader="dot" w:pos="9298"/>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hAnsi="Times New Roman" w:eastAsia="黑体" w:cs="Times New Roman"/>
          <w:sz w:val="21"/>
          <w:szCs w:val="22"/>
          <w:lang w:val="en-US" w:eastAsia="zh-CN" w:bidi="ar-SA"/>
        </w:rPr>
      </w:pPr>
      <w:bookmarkStart w:id="191" w:name="_Toc80263651"/>
      <w:r>
        <w:rPr>
          <w:rFonts w:hint="eastAsia" w:ascii="黑体" w:hAnsi="Times New Roman" w:eastAsia="黑体" w:cs="Times New Roman"/>
          <w:sz w:val="21"/>
          <w:szCs w:val="22"/>
          <w:lang w:val="en-US" w:eastAsia="zh-CN" w:bidi="ar-SA"/>
        </w:rPr>
        <w:t>B.6.1  退货物流单回执报文结构</w:t>
      </w:r>
      <w:bookmarkEnd w:id="191"/>
    </w:p>
    <w:p>
      <w:pPr>
        <w:autoSpaceDE/>
        <w:autoSpaceDN/>
        <w:bidi w:val="0"/>
        <w:ind w:firstLine="420" w:firstLineChars="200"/>
        <w:jc w:val="both"/>
        <w:rPr>
          <w:rFonts w:hint="default"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bidi="ar-SA"/>
        </w:rPr>
        <w:t>退货物流单回执报文结构</w:t>
      </w:r>
      <w:r>
        <w:rPr>
          <w:rFonts w:hint="eastAsia" w:ascii="宋体" w:hAnsi="宋体" w:eastAsia="宋体" w:cs="Times New Roman"/>
          <w:kern w:val="2"/>
          <w:sz w:val="21"/>
          <w:szCs w:val="24"/>
          <w:lang w:val="en-US" w:eastAsia="zh-CN" w:bidi="ar-SA"/>
        </w:rPr>
        <w:t>见图B.6。</w:t>
      </w:r>
    </w:p>
    <w:p>
      <w:pPr>
        <w:widowControl w:val="0"/>
        <w:autoSpaceDE w:val="0"/>
        <w:autoSpaceDN w:val="0"/>
        <w:jc w:val="center"/>
        <w:rPr>
          <w:rFonts w:ascii="宋体" w:hAnsi="宋体" w:eastAsia="宋体" w:cs="宋体"/>
          <w:sz w:val="24"/>
          <w:szCs w:val="24"/>
          <w:lang w:val="zh-CN" w:eastAsia="zh-CN" w:bidi="zh-CN"/>
        </w:rPr>
      </w:pPr>
      <w:r>
        <w:rPr>
          <w:rFonts w:ascii="宋体" w:hAnsi="宋体" w:eastAsia="宋体" w:cs="宋体"/>
          <w:sz w:val="24"/>
          <w:szCs w:val="24"/>
          <w:lang w:val="zh-CN" w:eastAsia="zh-CN" w:bidi="zh-CN"/>
        </w:rPr>
        <w:drawing>
          <wp:inline distT="0" distB="0" distL="114300" distR="114300">
            <wp:extent cx="4494530" cy="2034540"/>
            <wp:effectExtent l="0" t="0" r="1270" b="381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28"/>
                    <a:stretch>
                      <a:fillRect/>
                    </a:stretch>
                  </pic:blipFill>
                  <pic:spPr>
                    <a:xfrm>
                      <a:off x="0" y="0"/>
                      <a:ext cx="4494530" cy="2034540"/>
                    </a:xfrm>
                    <a:prstGeom prst="rect">
                      <a:avLst/>
                    </a:prstGeom>
                    <a:noFill/>
                    <a:ln>
                      <a:noFill/>
                    </a:ln>
                  </pic:spPr>
                </pic:pic>
              </a:graphicData>
            </a:graphic>
          </wp:inline>
        </w:drawing>
      </w:r>
    </w:p>
    <w:p>
      <w:pPr>
        <w:keepNext/>
        <w:keepLines/>
        <w:widowControl w:val="0"/>
        <w:numPr>
          <w:ilvl w:val="255"/>
          <w:numId w:val="0"/>
        </w:numPr>
        <w:tabs>
          <w:tab w:val="left" w:pos="0"/>
        </w:tabs>
        <w:autoSpaceDE w:val="0"/>
        <w:autoSpaceDN w:val="0"/>
        <w:spacing w:before="156" w:beforeLines="50" w:after="156" w:afterLines="50"/>
        <w:ind w:left="0" w:firstLine="0"/>
        <w:jc w:val="center"/>
        <w:outlineLvl w:val="2"/>
        <w:rPr>
          <w:rFonts w:hint="default" w:ascii="黑体" w:hAnsi="黑体" w:eastAsia="黑体" w:cs="黑体"/>
          <w:bCs w:val="0"/>
          <w:sz w:val="22"/>
          <w:szCs w:val="21"/>
          <w:lang w:val="en-US" w:eastAsia="zh-CN" w:bidi="zh-CN"/>
        </w:rPr>
      </w:pPr>
      <w:r>
        <w:rPr>
          <w:rFonts w:hint="eastAsia" w:ascii="黑体" w:hAnsi="黑体" w:eastAsia="黑体" w:cs="黑体"/>
          <w:bCs w:val="0"/>
          <w:sz w:val="22"/>
          <w:szCs w:val="21"/>
          <w:lang w:val="en-US" w:eastAsia="zh-CN" w:bidi="zh-CN"/>
        </w:rPr>
        <w:t>图B.6  退货订单申报报文结构</w:t>
      </w:r>
    </w:p>
    <w:p>
      <w:pPr>
        <w:keepNext w:val="0"/>
        <w:keepLines w:val="0"/>
        <w:pageBreakBefore w:val="0"/>
        <w:widowControl/>
        <w:numPr>
          <w:ilvl w:val="-1"/>
          <w:numId w:val="0"/>
        </w:numPr>
        <w:tabs>
          <w:tab w:val="left" w:pos="0"/>
          <w:tab w:val="center" w:pos="4201"/>
          <w:tab w:val="right" w:leader="dot" w:pos="9298"/>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hAnsi="Times New Roman" w:eastAsia="黑体" w:cs="Times New Roman"/>
          <w:sz w:val="21"/>
          <w:szCs w:val="22"/>
          <w:lang w:val="en-US" w:eastAsia="zh-CN" w:bidi="ar-SA"/>
        </w:rPr>
      </w:pPr>
      <w:bookmarkStart w:id="192" w:name="_Toc80263652"/>
      <w:r>
        <w:rPr>
          <w:rFonts w:hint="eastAsia" w:ascii="黑体" w:hAnsi="Times New Roman" w:eastAsia="黑体" w:cs="Times New Roman"/>
          <w:sz w:val="21"/>
          <w:szCs w:val="22"/>
          <w:lang w:val="en-US" w:eastAsia="zh-CN" w:bidi="ar-SA"/>
        </w:rPr>
        <w:t>B.6.2  退货物流单回执报文根节点</w:t>
      </w:r>
      <w:bookmarkEnd w:id="192"/>
    </w:p>
    <w:p>
      <w:pPr>
        <w:autoSpaceDE/>
        <w:autoSpaceDN/>
        <w:bidi w:val="0"/>
        <w:ind w:firstLine="420" w:firstLineChars="200"/>
        <w:jc w:val="both"/>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DEN506Message 为退货物流单回执报文 XML 根节点名称，包括 guid 和 version 两个</w:t>
      </w:r>
      <w:r>
        <w:rPr>
          <w:rFonts w:hint="eastAsia" w:ascii="宋体" w:hAnsi="宋体" w:eastAsia="宋体" w:cstheme="minorBidi"/>
          <w:kern w:val="2"/>
          <w:sz w:val="21"/>
          <w:szCs w:val="24"/>
          <w:lang w:val="en-US" w:bidi="ar-SA"/>
        </w:rPr>
        <w:t>属性，</w:t>
      </w:r>
      <w:r>
        <w:rPr>
          <w:rFonts w:hint="eastAsia" w:ascii="宋体" w:hAnsi="宋体" w:eastAsia="宋体" w:cstheme="minorBidi"/>
          <w:kern w:val="2"/>
          <w:sz w:val="21"/>
          <w:szCs w:val="24"/>
          <w:lang w:val="en-US" w:eastAsia="zh-CN" w:bidi="ar-SA"/>
        </w:rPr>
        <w:t>见表B.19。</w:t>
      </w:r>
    </w:p>
    <w:p>
      <w:pPr>
        <w:keepNext/>
        <w:keepLines/>
        <w:widowControl w:val="0"/>
        <w:numPr>
          <w:ilvl w:val="255"/>
          <w:numId w:val="0"/>
        </w:numPr>
        <w:tabs>
          <w:tab w:val="left" w:pos="0"/>
        </w:tabs>
        <w:autoSpaceDE w:val="0"/>
        <w:autoSpaceDN w:val="0"/>
        <w:spacing w:before="156" w:beforeLines="50" w:after="156" w:afterLines="50"/>
        <w:ind w:left="0" w:firstLine="0"/>
        <w:jc w:val="center"/>
        <w:outlineLvl w:val="2"/>
        <w:rPr>
          <w:rFonts w:hint="eastAsia" w:ascii="黑体" w:hAnsi="黑体" w:eastAsia="黑体" w:cs="黑体"/>
          <w:bCs w:val="0"/>
          <w:sz w:val="22"/>
          <w:szCs w:val="21"/>
          <w:lang w:val="en-US" w:eastAsia="zh-CN" w:bidi="zh-CN"/>
        </w:rPr>
      </w:pPr>
      <w:r>
        <w:rPr>
          <w:rFonts w:hint="eastAsia" w:ascii="黑体" w:hAnsi="黑体" w:eastAsia="黑体" w:cs="黑体"/>
          <w:bCs w:val="0"/>
          <w:sz w:val="22"/>
          <w:szCs w:val="21"/>
          <w:lang w:val="en-US" w:eastAsia="zh-CN" w:bidi="zh-CN"/>
        </w:rPr>
        <w:t>表B.19  DEN506Message节点的属性</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23"/>
        <w:gridCol w:w="1123"/>
        <w:gridCol w:w="900"/>
        <w:gridCol w:w="677"/>
        <w:gridCol w:w="46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23" w:type="dxa"/>
            <w:tcBorders>
              <w:bottom w:val="single" w:color="000000" w:sz="12" w:space="0"/>
            </w:tcBorders>
            <w:noWrap w:val="0"/>
            <w:vAlign w:val="center"/>
          </w:tcPr>
          <w:p>
            <w:pPr>
              <w:widowControl w:val="0"/>
              <w:autoSpaceDE w:val="0"/>
              <w:autoSpaceDN w:val="0"/>
              <w:spacing w:before="21"/>
              <w:ind w:left="107"/>
              <w:rPr>
                <w:rFonts w:ascii="宋体" w:hAnsi="宋体" w:eastAsia="宋体" w:cs="宋体"/>
                <w:sz w:val="18"/>
                <w:szCs w:val="18"/>
                <w:lang w:val="zh-CN" w:eastAsia="zh-CN" w:bidi="zh-CN"/>
              </w:rPr>
            </w:pPr>
            <w:r>
              <w:rPr>
                <w:rFonts w:ascii="宋体" w:hAnsi="宋体" w:eastAsia="宋体" w:cs="宋体"/>
                <w:sz w:val="18"/>
                <w:szCs w:val="18"/>
                <w:lang w:val="zh-CN" w:eastAsia="zh-CN" w:bidi="zh-CN"/>
              </w:rPr>
              <w:t>名称</w:t>
            </w:r>
          </w:p>
        </w:tc>
        <w:tc>
          <w:tcPr>
            <w:tcW w:w="1123" w:type="dxa"/>
            <w:tcBorders>
              <w:bottom w:val="single" w:color="000000" w:sz="12" w:space="0"/>
            </w:tcBorders>
            <w:noWrap w:val="0"/>
            <w:vAlign w:val="center"/>
          </w:tcPr>
          <w:p>
            <w:pPr>
              <w:widowControl w:val="0"/>
              <w:autoSpaceDE w:val="0"/>
              <w:autoSpaceDN w:val="0"/>
              <w:spacing w:before="21"/>
              <w:ind w:left="107"/>
              <w:rPr>
                <w:rFonts w:ascii="宋体" w:hAnsi="宋体" w:eastAsia="宋体" w:cs="宋体"/>
                <w:sz w:val="18"/>
                <w:szCs w:val="18"/>
                <w:lang w:val="zh-CN" w:eastAsia="zh-CN" w:bidi="zh-CN"/>
              </w:rPr>
            </w:pPr>
            <w:r>
              <w:rPr>
                <w:rFonts w:ascii="宋体" w:hAnsi="宋体" w:eastAsia="宋体" w:cs="宋体"/>
                <w:sz w:val="18"/>
                <w:szCs w:val="18"/>
                <w:lang w:val="zh-CN" w:eastAsia="zh-CN" w:bidi="zh-CN"/>
              </w:rPr>
              <w:t>英文名称</w:t>
            </w:r>
          </w:p>
        </w:tc>
        <w:tc>
          <w:tcPr>
            <w:tcW w:w="900" w:type="dxa"/>
            <w:tcBorders>
              <w:bottom w:val="single" w:color="000000" w:sz="12" w:space="0"/>
            </w:tcBorders>
            <w:noWrap w:val="0"/>
            <w:vAlign w:val="center"/>
          </w:tcPr>
          <w:p>
            <w:pPr>
              <w:widowControl w:val="0"/>
              <w:autoSpaceDE w:val="0"/>
              <w:autoSpaceDN w:val="0"/>
              <w:spacing w:before="21"/>
              <w:ind w:left="108"/>
              <w:rPr>
                <w:rFonts w:ascii="宋体" w:hAnsi="宋体" w:eastAsia="宋体" w:cs="宋体"/>
                <w:sz w:val="18"/>
                <w:szCs w:val="18"/>
                <w:lang w:val="zh-CN" w:eastAsia="zh-CN" w:bidi="zh-CN"/>
              </w:rPr>
            </w:pPr>
            <w:r>
              <w:rPr>
                <w:rFonts w:ascii="宋体" w:hAnsi="宋体" w:eastAsia="宋体" w:cs="宋体"/>
                <w:sz w:val="18"/>
                <w:szCs w:val="18"/>
                <w:lang w:val="zh-CN" w:eastAsia="zh-CN" w:bidi="zh-CN"/>
              </w:rPr>
              <w:t>类型</w:t>
            </w:r>
          </w:p>
        </w:tc>
        <w:tc>
          <w:tcPr>
            <w:tcW w:w="677" w:type="dxa"/>
            <w:tcBorders>
              <w:bottom w:val="single" w:color="000000" w:sz="12" w:space="0"/>
            </w:tcBorders>
            <w:noWrap w:val="0"/>
            <w:vAlign w:val="center"/>
          </w:tcPr>
          <w:p>
            <w:pPr>
              <w:widowControl w:val="0"/>
              <w:autoSpaceDE w:val="0"/>
              <w:autoSpaceDN w:val="0"/>
              <w:spacing w:before="21"/>
              <w:ind w:left="108"/>
              <w:rPr>
                <w:rFonts w:ascii="宋体" w:hAnsi="宋体" w:eastAsia="宋体" w:cs="宋体"/>
                <w:sz w:val="18"/>
                <w:szCs w:val="18"/>
                <w:lang w:val="zh-CN" w:eastAsia="zh-CN" w:bidi="zh-CN"/>
              </w:rPr>
            </w:pPr>
            <w:r>
              <w:rPr>
                <w:rFonts w:ascii="宋体" w:hAnsi="宋体" w:eastAsia="宋体" w:cs="宋体"/>
                <w:sz w:val="18"/>
                <w:szCs w:val="18"/>
                <w:lang w:val="zh-CN" w:eastAsia="zh-CN" w:bidi="zh-CN"/>
              </w:rPr>
              <w:t>必填</w:t>
            </w:r>
          </w:p>
        </w:tc>
        <w:tc>
          <w:tcPr>
            <w:tcW w:w="4698" w:type="dxa"/>
            <w:tcBorders>
              <w:bottom w:val="single" w:color="000000" w:sz="12" w:space="0"/>
            </w:tcBorders>
            <w:noWrap w:val="0"/>
            <w:vAlign w:val="center"/>
          </w:tcPr>
          <w:p>
            <w:pPr>
              <w:widowControl w:val="0"/>
              <w:autoSpaceDE w:val="0"/>
              <w:autoSpaceDN w:val="0"/>
              <w:spacing w:before="21"/>
              <w:ind w:left="107"/>
              <w:rPr>
                <w:rFonts w:ascii="宋体" w:hAnsi="宋体" w:eastAsia="宋体" w:cs="宋体"/>
                <w:sz w:val="18"/>
                <w:szCs w:val="18"/>
                <w:lang w:val="zh-CN" w:eastAsia="zh-CN" w:bidi="zh-CN"/>
              </w:rPr>
            </w:pPr>
            <w:r>
              <w:rPr>
                <w:rFonts w:ascii="宋体" w:hAnsi="宋体" w:eastAsia="宋体" w:cs="宋体"/>
                <w:sz w:val="18"/>
                <w:szCs w:val="18"/>
                <w:lang w:val="zh-CN" w:eastAsia="zh-CN" w:bidi="zh-CN"/>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23" w:type="dxa"/>
            <w:tcBorders>
              <w:top w:val="single" w:color="000000" w:sz="12" w:space="0"/>
              <w:tl2br w:val="nil"/>
              <w:tr2bl w:val="nil"/>
            </w:tcBorders>
            <w:noWrap w:val="0"/>
            <w:vAlign w:val="center"/>
          </w:tcPr>
          <w:p>
            <w:pPr>
              <w:widowControl w:val="0"/>
              <w:autoSpaceDE w:val="0"/>
              <w:autoSpaceDN w:val="0"/>
              <w:spacing w:before="20"/>
              <w:ind w:left="107"/>
              <w:jc w:val="both"/>
              <w:rPr>
                <w:rFonts w:ascii="宋体" w:hAnsi="宋体" w:eastAsia="宋体" w:cs="宋体"/>
                <w:sz w:val="18"/>
                <w:szCs w:val="18"/>
                <w:lang w:val="zh-CN" w:eastAsia="zh-CN" w:bidi="zh-CN"/>
              </w:rPr>
            </w:pPr>
            <w:r>
              <w:rPr>
                <w:rFonts w:ascii="宋体" w:hAnsi="宋体" w:eastAsia="宋体" w:cs="宋体"/>
                <w:sz w:val="18"/>
                <w:szCs w:val="18"/>
                <w:lang w:val="zh-CN" w:eastAsia="zh-CN" w:bidi="zh-CN"/>
              </w:rPr>
              <w:t>报文编号</w:t>
            </w:r>
          </w:p>
        </w:tc>
        <w:tc>
          <w:tcPr>
            <w:tcW w:w="1123" w:type="dxa"/>
            <w:tcBorders>
              <w:top w:val="single" w:color="000000" w:sz="12" w:space="0"/>
              <w:tl2br w:val="nil"/>
              <w:tr2bl w:val="nil"/>
            </w:tcBorders>
            <w:noWrap w:val="0"/>
            <w:vAlign w:val="center"/>
          </w:tcPr>
          <w:p>
            <w:pPr>
              <w:widowControl w:val="0"/>
              <w:autoSpaceDE w:val="0"/>
              <w:autoSpaceDN w:val="0"/>
              <w:spacing w:before="20"/>
              <w:ind w:left="107"/>
              <w:jc w:val="both"/>
              <w:rPr>
                <w:rFonts w:ascii="宋体" w:hAnsi="宋体" w:eastAsia="宋体" w:cs="宋体"/>
                <w:sz w:val="18"/>
                <w:szCs w:val="18"/>
                <w:lang w:val="zh-CN" w:eastAsia="zh-CN" w:bidi="zh-CN"/>
              </w:rPr>
            </w:pPr>
            <w:r>
              <w:rPr>
                <w:rFonts w:ascii="宋体" w:hAnsi="宋体" w:eastAsia="宋体" w:cs="宋体"/>
                <w:sz w:val="18"/>
                <w:szCs w:val="18"/>
                <w:lang w:val="zh-CN" w:eastAsia="zh-CN" w:bidi="zh-CN"/>
              </w:rPr>
              <w:t>guid</w:t>
            </w:r>
          </w:p>
        </w:tc>
        <w:tc>
          <w:tcPr>
            <w:tcW w:w="900" w:type="dxa"/>
            <w:tcBorders>
              <w:top w:val="single" w:color="000000" w:sz="12" w:space="0"/>
              <w:tl2br w:val="nil"/>
              <w:tr2bl w:val="nil"/>
            </w:tcBorders>
            <w:noWrap w:val="0"/>
            <w:vAlign w:val="center"/>
          </w:tcPr>
          <w:p>
            <w:pPr>
              <w:widowControl w:val="0"/>
              <w:autoSpaceDE w:val="0"/>
              <w:autoSpaceDN w:val="0"/>
              <w:spacing w:before="20"/>
              <w:ind w:left="108"/>
              <w:jc w:val="both"/>
              <w:rPr>
                <w:rFonts w:ascii="宋体" w:hAnsi="宋体" w:eastAsia="宋体" w:cs="宋体"/>
                <w:sz w:val="18"/>
                <w:szCs w:val="18"/>
                <w:lang w:val="zh-CN" w:eastAsia="zh-CN" w:bidi="zh-CN"/>
              </w:rPr>
            </w:pPr>
            <w:r>
              <w:rPr>
                <w:rFonts w:ascii="宋体" w:hAnsi="宋体" w:eastAsia="宋体" w:cs="宋体"/>
                <w:sz w:val="18"/>
                <w:szCs w:val="18"/>
                <w:lang w:val="zh-CN" w:eastAsia="zh-CN" w:bidi="zh-CN"/>
              </w:rPr>
              <w:t>an36</w:t>
            </w:r>
          </w:p>
        </w:tc>
        <w:tc>
          <w:tcPr>
            <w:tcW w:w="677" w:type="dxa"/>
            <w:tcBorders>
              <w:top w:val="single" w:color="000000" w:sz="12" w:space="0"/>
              <w:tl2br w:val="nil"/>
              <w:tr2bl w:val="nil"/>
            </w:tcBorders>
            <w:noWrap w:val="0"/>
            <w:vAlign w:val="center"/>
          </w:tcPr>
          <w:p>
            <w:pPr>
              <w:widowControl w:val="0"/>
              <w:autoSpaceDE w:val="0"/>
              <w:autoSpaceDN w:val="0"/>
              <w:spacing w:before="20"/>
              <w:ind w:left="108"/>
              <w:jc w:val="both"/>
              <w:rPr>
                <w:rFonts w:ascii="宋体" w:hAnsi="宋体" w:eastAsia="宋体" w:cs="宋体"/>
                <w:sz w:val="18"/>
                <w:szCs w:val="18"/>
                <w:lang w:val="zh-CN" w:eastAsia="zh-CN" w:bidi="zh-CN"/>
              </w:rPr>
            </w:pPr>
            <w:r>
              <w:rPr>
                <w:rFonts w:ascii="宋体" w:hAnsi="宋体" w:eastAsia="宋体" w:cs="宋体"/>
                <w:w w:val="99"/>
                <w:sz w:val="18"/>
                <w:szCs w:val="18"/>
                <w:lang w:val="zh-CN" w:eastAsia="zh-CN" w:bidi="zh-CN"/>
              </w:rPr>
              <w:t>是</w:t>
            </w:r>
          </w:p>
        </w:tc>
        <w:tc>
          <w:tcPr>
            <w:tcW w:w="4698" w:type="dxa"/>
            <w:tcBorders>
              <w:top w:val="single" w:color="000000" w:sz="12" w:space="0"/>
              <w:tl2br w:val="nil"/>
              <w:tr2bl w:val="nil"/>
            </w:tcBorders>
            <w:noWrap w:val="0"/>
            <w:vAlign w:val="center"/>
          </w:tcPr>
          <w:p>
            <w:pPr>
              <w:widowControl w:val="0"/>
              <w:autoSpaceDE w:val="0"/>
              <w:autoSpaceDN w:val="0"/>
              <w:spacing w:before="20"/>
              <w:ind w:left="107"/>
              <w:jc w:val="both"/>
              <w:rPr>
                <w:rFonts w:ascii="宋体" w:hAnsi="宋体" w:eastAsia="宋体" w:cs="宋体"/>
                <w:sz w:val="18"/>
                <w:szCs w:val="18"/>
                <w:lang w:val="zh-CN" w:eastAsia="zh-CN" w:bidi="zh-CN"/>
              </w:rPr>
            </w:pPr>
            <w:r>
              <w:rPr>
                <w:rFonts w:ascii="宋体" w:hAnsi="宋体" w:eastAsia="宋体" w:cs="宋体"/>
                <w:sz w:val="18"/>
                <w:szCs w:val="18"/>
                <w:lang w:val="zh-CN" w:eastAsia="zh-CN" w:bidi="zh-CN"/>
              </w:rPr>
              <w:t>报文的36位系统唯一序号（英文字母大写）。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23" w:type="dxa"/>
            <w:tcBorders>
              <w:tl2br w:val="nil"/>
              <w:tr2bl w:val="nil"/>
            </w:tcBorders>
            <w:noWrap w:val="0"/>
            <w:vAlign w:val="center"/>
          </w:tcPr>
          <w:p>
            <w:pPr>
              <w:widowControl w:val="0"/>
              <w:autoSpaceDE w:val="0"/>
              <w:autoSpaceDN w:val="0"/>
              <w:spacing w:before="20"/>
              <w:ind w:left="107"/>
              <w:rPr>
                <w:rFonts w:ascii="宋体" w:hAnsi="宋体" w:eastAsia="宋体" w:cs="宋体"/>
                <w:sz w:val="18"/>
                <w:szCs w:val="18"/>
                <w:lang w:val="zh-CN" w:eastAsia="zh-CN" w:bidi="zh-CN"/>
              </w:rPr>
            </w:pPr>
            <w:r>
              <w:rPr>
                <w:rFonts w:ascii="宋体" w:hAnsi="宋体" w:eastAsia="宋体" w:cs="宋体"/>
                <w:sz w:val="18"/>
                <w:szCs w:val="18"/>
                <w:lang w:val="zh-CN" w:eastAsia="zh-CN" w:bidi="zh-CN"/>
              </w:rPr>
              <w:t>版本号</w:t>
            </w:r>
          </w:p>
        </w:tc>
        <w:tc>
          <w:tcPr>
            <w:tcW w:w="1123" w:type="dxa"/>
            <w:tcBorders>
              <w:tl2br w:val="nil"/>
              <w:tr2bl w:val="nil"/>
            </w:tcBorders>
            <w:noWrap w:val="0"/>
            <w:vAlign w:val="center"/>
          </w:tcPr>
          <w:p>
            <w:pPr>
              <w:widowControl w:val="0"/>
              <w:autoSpaceDE w:val="0"/>
              <w:autoSpaceDN w:val="0"/>
              <w:spacing w:before="20"/>
              <w:ind w:left="107"/>
              <w:rPr>
                <w:rFonts w:ascii="宋体" w:hAnsi="宋体" w:eastAsia="宋体" w:cs="宋体"/>
                <w:sz w:val="18"/>
                <w:szCs w:val="18"/>
                <w:lang w:val="zh-CN" w:eastAsia="zh-CN" w:bidi="zh-CN"/>
              </w:rPr>
            </w:pPr>
            <w:r>
              <w:rPr>
                <w:rFonts w:ascii="宋体" w:hAnsi="宋体" w:eastAsia="宋体" w:cs="宋体"/>
                <w:sz w:val="18"/>
                <w:szCs w:val="18"/>
                <w:lang w:val="zh-CN" w:eastAsia="zh-CN" w:bidi="zh-CN"/>
              </w:rPr>
              <w:t>version</w:t>
            </w:r>
          </w:p>
        </w:tc>
        <w:tc>
          <w:tcPr>
            <w:tcW w:w="900" w:type="dxa"/>
            <w:tcBorders>
              <w:tl2br w:val="nil"/>
              <w:tr2bl w:val="nil"/>
            </w:tcBorders>
            <w:noWrap w:val="0"/>
            <w:vAlign w:val="center"/>
          </w:tcPr>
          <w:p>
            <w:pPr>
              <w:widowControl w:val="0"/>
              <w:autoSpaceDE w:val="0"/>
              <w:autoSpaceDN w:val="0"/>
              <w:spacing w:before="20"/>
              <w:ind w:left="108"/>
              <w:rPr>
                <w:rFonts w:ascii="宋体" w:hAnsi="宋体" w:eastAsia="宋体" w:cs="宋体"/>
                <w:sz w:val="18"/>
                <w:szCs w:val="18"/>
                <w:lang w:val="zh-CN" w:eastAsia="zh-CN" w:bidi="zh-CN"/>
              </w:rPr>
            </w:pPr>
            <w:r>
              <w:rPr>
                <w:rFonts w:ascii="宋体" w:hAnsi="宋体" w:eastAsia="宋体" w:cs="宋体"/>
                <w:sz w:val="18"/>
                <w:szCs w:val="18"/>
                <w:lang w:val="zh-CN" w:eastAsia="zh-CN" w:bidi="zh-CN"/>
              </w:rPr>
              <w:t>an..10</w:t>
            </w:r>
          </w:p>
        </w:tc>
        <w:tc>
          <w:tcPr>
            <w:tcW w:w="677" w:type="dxa"/>
            <w:tcBorders>
              <w:tl2br w:val="nil"/>
              <w:tr2bl w:val="nil"/>
            </w:tcBorders>
            <w:noWrap w:val="0"/>
            <w:vAlign w:val="center"/>
          </w:tcPr>
          <w:p>
            <w:pPr>
              <w:widowControl w:val="0"/>
              <w:autoSpaceDE w:val="0"/>
              <w:autoSpaceDN w:val="0"/>
              <w:spacing w:before="20"/>
              <w:ind w:left="108"/>
              <w:rPr>
                <w:rFonts w:ascii="宋体" w:hAnsi="宋体" w:eastAsia="宋体" w:cs="宋体"/>
                <w:sz w:val="18"/>
                <w:szCs w:val="18"/>
                <w:lang w:val="zh-CN" w:eastAsia="zh-CN" w:bidi="zh-CN"/>
              </w:rPr>
            </w:pPr>
            <w:r>
              <w:rPr>
                <w:rFonts w:ascii="宋体" w:hAnsi="宋体" w:eastAsia="宋体" w:cs="宋体"/>
                <w:w w:val="99"/>
                <w:sz w:val="18"/>
                <w:szCs w:val="18"/>
                <w:lang w:val="zh-CN" w:eastAsia="zh-CN" w:bidi="zh-CN"/>
              </w:rPr>
              <w:t>是</w:t>
            </w:r>
          </w:p>
        </w:tc>
        <w:tc>
          <w:tcPr>
            <w:tcW w:w="4698" w:type="dxa"/>
            <w:tcBorders>
              <w:tl2br w:val="nil"/>
              <w:tr2bl w:val="nil"/>
            </w:tcBorders>
            <w:noWrap w:val="0"/>
            <w:vAlign w:val="center"/>
          </w:tcPr>
          <w:p>
            <w:pPr>
              <w:widowControl w:val="0"/>
              <w:autoSpaceDE w:val="0"/>
              <w:autoSpaceDN w:val="0"/>
              <w:spacing w:before="20"/>
              <w:ind w:left="107"/>
              <w:rPr>
                <w:rFonts w:ascii="宋体" w:hAnsi="宋体" w:eastAsia="宋体" w:cs="宋体"/>
                <w:sz w:val="18"/>
                <w:szCs w:val="18"/>
                <w:lang w:val="zh-CN" w:eastAsia="zh-CN" w:bidi="zh-CN"/>
              </w:rPr>
            </w:pPr>
            <w:r>
              <w:rPr>
                <w:rFonts w:ascii="宋体" w:hAnsi="宋体" w:eastAsia="宋体" w:cs="宋体"/>
                <w:sz w:val="18"/>
                <w:szCs w:val="18"/>
                <w:lang w:val="zh-CN" w:eastAsia="zh-CN" w:bidi="zh-CN"/>
              </w:rPr>
              <w:t>报文版本号，默认为1.0</w:t>
            </w:r>
          </w:p>
        </w:tc>
      </w:tr>
    </w:tbl>
    <w:p>
      <w:pPr>
        <w:keepNext w:val="0"/>
        <w:keepLines w:val="0"/>
        <w:pageBreakBefore w:val="0"/>
        <w:widowControl/>
        <w:numPr>
          <w:ilvl w:val="-1"/>
          <w:numId w:val="0"/>
        </w:numPr>
        <w:tabs>
          <w:tab w:val="left" w:pos="0"/>
          <w:tab w:val="center" w:pos="4201"/>
          <w:tab w:val="right" w:leader="dot" w:pos="9298"/>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hAnsi="Times New Roman" w:eastAsia="黑体" w:cs="Times New Roman"/>
          <w:sz w:val="21"/>
          <w:szCs w:val="22"/>
          <w:lang w:val="en-US" w:eastAsia="zh-CN" w:bidi="ar-SA"/>
        </w:rPr>
      </w:pPr>
      <w:bookmarkStart w:id="193" w:name="_Toc80263653"/>
      <w:r>
        <w:rPr>
          <w:rFonts w:hint="eastAsia" w:ascii="黑体" w:hAnsi="Times New Roman" w:eastAsia="黑体" w:cs="Times New Roman"/>
          <w:sz w:val="21"/>
          <w:szCs w:val="22"/>
          <w:lang w:val="en-US" w:eastAsia="zh-CN" w:bidi="ar-SA"/>
        </w:rPr>
        <w:t>B.6.3  退货物流单回执报文描述</w:t>
      </w:r>
      <w:bookmarkEnd w:id="193"/>
    </w:p>
    <w:p>
      <w:pPr>
        <w:keepNext/>
        <w:keepLines/>
        <w:widowControl w:val="0"/>
        <w:numPr>
          <w:ilvl w:val="255"/>
          <w:numId w:val="0"/>
        </w:numPr>
        <w:tabs>
          <w:tab w:val="left" w:pos="0"/>
        </w:tabs>
        <w:autoSpaceDE w:val="0"/>
        <w:autoSpaceDN w:val="0"/>
        <w:spacing w:before="156" w:beforeLines="50" w:after="156" w:afterLines="50"/>
        <w:ind w:left="0" w:firstLine="0"/>
        <w:jc w:val="center"/>
        <w:outlineLvl w:val="2"/>
        <w:rPr>
          <w:rFonts w:hint="eastAsia" w:ascii="黑体" w:hAnsi="黑体" w:eastAsia="黑体" w:cs="黑体"/>
          <w:bCs w:val="0"/>
          <w:kern w:val="2"/>
          <w:sz w:val="21"/>
          <w:szCs w:val="21"/>
          <w:lang w:val="en-US" w:eastAsia="zh-CN" w:bidi="ar-SA"/>
        </w:rPr>
      </w:pPr>
      <w:r>
        <w:rPr>
          <w:rFonts w:hint="eastAsia" w:ascii="黑体" w:hAnsi="黑体" w:eastAsia="黑体" w:cs="黑体"/>
          <w:bCs w:val="0"/>
          <w:kern w:val="2"/>
          <w:sz w:val="21"/>
          <w:szCs w:val="21"/>
          <w:lang w:val="en-US" w:eastAsia="zh-CN" w:bidi="ar-SA"/>
        </w:rPr>
        <w:t>表B.20  退货物流单回执报文描述</w:t>
      </w:r>
    </w:p>
    <w:tbl>
      <w:tblPr>
        <w:tblStyle w:val="17"/>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574"/>
        <w:gridCol w:w="1503"/>
        <w:gridCol w:w="1073"/>
        <w:gridCol w:w="670"/>
        <w:gridCol w:w="370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574" w:type="dxa"/>
            <w:tcBorders>
              <w:bottom w:val="single" w:color="000000" w:sz="12" w:space="0"/>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中文名称</w:t>
            </w:r>
          </w:p>
        </w:tc>
        <w:tc>
          <w:tcPr>
            <w:tcW w:w="1503" w:type="dxa"/>
            <w:tcBorders>
              <w:bottom w:val="single" w:color="000000" w:sz="12" w:space="0"/>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英文名称</w:t>
            </w:r>
          </w:p>
        </w:tc>
        <w:tc>
          <w:tcPr>
            <w:tcW w:w="1073" w:type="dxa"/>
            <w:tcBorders>
              <w:bottom w:val="single" w:color="000000" w:sz="12" w:space="0"/>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数据格式</w:t>
            </w:r>
          </w:p>
        </w:tc>
        <w:tc>
          <w:tcPr>
            <w:tcW w:w="670" w:type="dxa"/>
            <w:tcBorders>
              <w:bottom w:val="single" w:color="000000" w:sz="12" w:space="0"/>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必填</w:t>
            </w:r>
          </w:p>
        </w:tc>
        <w:tc>
          <w:tcPr>
            <w:tcW w:w="3702" w:type="dxa"/>
            <w:tcBorders>
              <w:bottom w:val="single" w:color="000000" w:sz="12" w:space="0"/>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574" w:type="dxa"/>
            <w:tcBorders>
              <w:top w:val="single" w:color="000000" w:sz="12" w:space="0"/>
              <w:tl2br w:val="nil"/>
              <w:tr2bl w:val="nil"/>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系统唯一序号</w:t>
            </w:r>
          </w:p>
        </w:tc>
        <w:tc>
          <w:tcPr>
            <w:tcW w:w="1503" w:type="dxa"/>
            <w:tcBorders>
              <w:top w:val="single" w:color="000000" w:sz="12" w:space="0"/>
              <w:tl2br w:val="nil"/>
              <w:tr2bl w:val="nil"/>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guid</w:t>
            </w:r>
          </w:p>
        </w:tc>
        <w:tc>
          <w:tcPr>
            <w:tcW w:w="1073" w:type="dxa"/>
            <w:tcBorders>
              <w:top w:val="single" w:color="000000" w:sz="12" w:space="0"/>
              <w:tl2br w:val="nil"/>
              <w:tr2bl w:val="nil"/>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C36</w:t>
            </w:r>
          </w:p>
        </w:tc>
        <w:tc>
          <w:tcPr>
            <w:tcW w:w="670" w:type="dxa"/>
            <w:tcBorders>
              <w:top w:val="single" w:color="000000" w:sz="12" w:space="0"/>
              <w:tl2br w:val="nil"/>
              <w:tr2bl w:val="nil"/>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是</w:t>
            </w:r>
          </w:p>
        </w:tc>
        <w:tc>
          <w:tcPr>
            <w:tcW w:w="3702" w:type="dxa"/>
            <w:tcBorders>
              <w:top w:val="single" w:color="000000" w:sz="12" w:space="0"/>
              <w:tl2br w:val="nil"/>
              <w:tr2bl w:val="nil"/>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系统生成36位唯一序号（英文字母大写）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574"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退货物流企业代码</w:t>
            </w:r>
          </w:p>
        </w:tc>
        <w:tc>
          <w:tcPr>
            <w:tcW w:w="1503"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en-US" w:eastAsia="zh-CN" w:bidi="zh-CN"/>
              </w:rPr>
              <w:t>logisticsCode</w:t>
            </w:r>
          </w:p>
        </w:tc>
        <w:tc>
          <w:tcPr>
            <w:tcW w:w="1073"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C..</w:t>
            </w:r>
            <w:r>
              <w:rPr>
                <w:rFonts w:hint="eastAsia" w:ascii="宋体" w:hAnsi="宋体" w:eastAsia="宋体" w:cs="宋体"/>
                <w:sz w:val="18"/>
                <w:szCs w:val="18"/>
                <w:lang w:val="en-US" w:eastAsia="zh-CN" w:bidi="zh-CN"/>
              </w:rPr>
              <w:t>18</w:t>
            </w:r>
          </w:p>
        </w:tc>
        <w:tc>
          <w:tcPr>
            <w:tcW w:w="670"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是</w:t>
            </w:r>
          </w:p>
        </w:tc>
        <w:tc>
          <w:tcPr>
            <w:tcW w:w="3702"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溯源退货物流企业在海关的备案编码。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574"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退货运单号</w:t>
            </w:r>
          </w:p>
        </w:tc>
        <w:tc>
          <w:tcPr>
            <w:tcW w:w="1503"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en-US" w:eastAsia="zh-CN" w:bidi="zh-CN"/>
              </w:rPr>
              <w:t>logisticsNo</w:t>
            </w:r>
          </w:p>
        </w:tc>
        <w:tc>
          <w:tcPr>
            <w:tcW w:w="1073"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C..</w:t>
            </w:r>
            <w:r>
              <w:rPr>
                <w:rFonts w:hint="eastAsia" w:ascii="宋体" w:hAnsi="宋体" w:eastAsia="宋体" w:cs="宋体"/>
                <w:sz w:val="18"/>
                <w:szCs w:val="18"/>
                <w:lang w:val="en-US" w:eastAsia="zh-CN" w:bidi="zh-CN"/>
              </w:rPr>
              <w:t>80</w:t>
            </w:r>
          </w:p>
        </w:tc>
        <w:tc>
          <w:tcPr>
            <w:tcW w:w="670"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是</w:t>
            </w:r>
          </w:p>
        </w:tc>
        <w:tc>
          <w:tcPr>
            <w:tcW w:w="3702"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574"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回执状态</w:t>
            </w:r>
          </w:p>
        </w:tc>
        <w:tc>
          <w:tcPr>
            <w:tcW w:w="1503"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returnStatus</w:t>
            </w:r>
          </w:p>
        </w:tc>
        <w:tc>
          <w:tcPr>
            <w:tcW w:w="1073"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C1..10</w:t>
            </w:r>
          </w:p>
        </w:tc>
        <w:tc>
          <w:tcPr>
            <w:tcW w:w="670"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是</w:t>
            </w:r>
          </w:p>
        </w:tc>
        <w:tc>
          <w:tcPr>
            <w:tcW w:w="3702"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en-US" w:eastAsia="zh-CN" w:bidi="zh-CN"/>
              </w:rPr>
            </w:pPr>
            <w:r>
              <w:rPr>
                <w:rFonts w:hint="eastAsia" w:ascii="宋体" w:hAnsi="宋体" w:eastAsia="宋体" w:cs="宋体"/>
                <w:sz w:val="18"/>
                <w:szCs w:val="18"/>
                <w:lang w:val="zh-CN" w:eastAsia="zh-CN" w:bidi="zh-CN"/>
              </w:rPr>
              <w:t>操作结果</w:t>
            </w:r>
            <w:r>
              <w:rPr>
                <w:rFonts w:hint="eastAsia" w:ascii="宋体" w:hAnsi="宋体" w:eastAsia="宋体" w:cs="宋体"/>
                <w:sz w:val="18"/>
                <w:szCs w:val="18"/>
                <w:lang w:val="en-US" w:eastAsia="zh-CN" w:bidi="zh-CN"/>
              </w:rPr>
              <w:t>1:入库失败 2:入库成功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574" w:type="dxa"/>
            <w:tcBorders>
              <w:tl2br w:val="nil"/>
              <w:tr2bl w:val="nil"/>
            </w:tcBorders>
            <w:noWrap w:val="0"/>
            <w:vAlign w:val="center"/>
          </w:tcPr>
          <w:p>
            <w:pPr>
              <w:widowControl w:val="0"/>
              <w:autoSpaceDE w:val="0"/>
              <w:autoSpaceDN w:val="0"/>
              <w:spacing w:before="21"/>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回执时间</w:t>
            </w:r>
          </w:p>
        </w:tc>
        <w:tc>
          <w:tcPr>
            <w:tcW w:w="1503" w:type="dxa"/>
            <w:tcBorders>
              <w:tl2br w:val="nil"/>
              <w:tr2bl w:val="nil"/>
            </w:tcBorders>
            <w:noWrap w:val="0"/>
            <w:vAlign w:val="center"/>
          </w:tcPr>
          <w:p>
            <w:pPr>
              <w:widowControl w:val="0"/>
              <w:autoSpaceDE w:val="0"/>
              <w:autoSpaceDN w:val="0"/>
              <w:spacing w:before="21"/>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returnTime</w:t>
            </w:r>
          </w:p>
        </w:tc>
        <w:tc>
          <w:tcPr>
            <w:tcW w:w="1073" w:type="dxa"/>
            <w:tcBorders>
              <w:tl2br w:val="nil"/>
              <w:tr2bl w:val="nil"/>
            </w:tcBorders>
            <w:noWrap w:val="0"/>
            <w:vAlign w:val="center"/>
          </w:tcPr>
          <w:p>
            <w:pPr>
              <w:widowControl w:val="0"/>
              <w:autoSpaceDE w:val="0"/>
              <w:autoSpaceDN w:val="0"/>
              <w:spacing w:before="21"/>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C17</w:t>
            </w:r>
          </w:p>
        </w:tc>
        <w:tc>
          <w:tcPr>
            <w:tcW w:w="670" w:type="dxa"/>
            <w:tcBorders>
              <w:tl2br w:val="nil"/>
              <w:tr2bl w:val="nil"/>
            </w:tcBorders>
            <w:noWrap w:val="0"/>
            <w:vAlign w:val="center"/>
          </w:tcPr>
          <w:p>
            <w:pPr>
              <w:widowControl w:val="0"/>
              <w:autoSpaceDE w:val="0"/>
              <w:autoSpaceDN w:val="0"/>
              <w:spacing w:before="21"/>
              <w:ind w:left="108"/>
              <w:jc w:val="center"/>
              <w:rPr>
                <w:rFonts w:hint="eastAsia" w:ascii="宋体" w:hAnsi="宋体" w:eastAsia="宋体" w:cs="宋体"/>
                <w:sz w:val="18"/>
                <w:szCs w:val="18"/>
                <w:lang w:val="zh-CN" w:eastAsia="zh-CN" w:bidi="zh-CN"/>
              </w:rPr>
            </w:pPr>
            <w:r>
              <w:rPr>
                <w:rFonts w:hint="eastAsia" w:ascii="宋体" w:hAnsi="宋体" w:eastAsia="宋体" w:cs="宋体"/>
                <w:w w:val="99"/>
                <w:sz w:val="18"/>
                <w:szCs w:val="18"/>
                <w:lang w:val="zh-CN" w:eastAsia="zh-CN" w:bidi="zh-CN"/>
              </w:rPr>
              <w:t>是</w:t>
            </w:r>
          </w:p>
        </w:tc>
        <w:tc>
          <w:tcPr>
            <w:tcW w:w="3702" w:type="dxa"/>
            <w:tcBorders>
              <w:tl2br w:val="nil"/>
              <w:tr2bl w:val="nil"/>
            </w:tcBorders>
            <w:noWrap w:val="0"/>
            <w:vAlign w:val="center"/>
          </w:tcPr>
          <w:p>
            <w:pPr>
              <w:widowControl w:val="0"/>
              <w:autoSpaceDE w:val="0"/>
              <w:autoSpaceDN w:val="0"/>
              <w:spacing w:before="21"/>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操作时间(格式：yyyyMMddHHmmssfff)</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574"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回执信息</w:t>
            </w:r>
          </w:p>
        </w:tc>
        <w:tc>
          <w:tcPr>
            <w:tcW w:w="1503" w:type="dxa"/>
            <w:tcBorders>
              <w:tl2br w:val="nil"/>
              <w:tr2bl w:val="nil"/>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returnInfo</w:t>
            </w:r>
          </w:p>
        </w:tc>
        <w:tc>
          <w:tcPr>
            <w:tcW w:w="1073" w:type="dxa"/>
            <w:tcBorders>
              <w:tl2br w:val="nil"/>
              <w:tr2bl w:val="nil"/>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C..1000</w:t>
            </w:r>
          </w:p>
        </w:tc>
        <w:tc>
          <w:tcPr>
            <w:tcW w:w="670" w:type="dxa"/>
            <w:tcBorders>
              <w:tl2br w:val="nil"/>
              <w:tr2bl w:val="nil"/>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w w:val="99"/>
                <w:sz w:val="18"/>
                <w:szCs w:val="18"/>
                <w:lang w:val="zh-CN" w:eastAsia="zh-CN" w:bidi="zh-CN"/>
              </w:rPr>
              <w:t>是</w:t>
            </w:r>
          </w:p>
        </w:tc>
        <w:tc>
          <w:tcPr>
            <w:tcW w:w="3702" w:type="dxa"/>
            <w:tcBorders>
              <w:tl2br w:val="nil"/>
              <w:tr2bl w:val="nil"/>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备注（如:</w:t>
            </w:r>
            <w:r>
              <w:rPr>
                <w:rFonts w:hint="eastAsia" w:ascii="宋体" w:hAnsi="宋体" w:eastAsia="宋体" w:cs="宋体"/>
                <w:sz w:val="18"/>
                <w:szCs w:val="18"/>
                <w:lang w:val="en-US" w:eastAsia="zh-CN" w:bidi="zh-CN"/>
              </w:rPr>
              <w:t>失败</w:t>
            </w:r>
            <w:r>
              <w:rPr>
                <w:rFonts w:hint="eastAsia" w:ascii="宋体" w:hAnsi="宋体" w:eastAsia="宋体" w:cs="宋体"/>
                <w:sz w:val="18"/>
                <w:szCs w:val="18"/>
                <w:lang w:val="zh-CN" w:eastAsia="zh-CN" w:bidi="zh-CN"/>
              </w:rPr>
              <w:t>原因）</w:t>
            </w:r>
          </w:p>
        </w:tc>
      </w:tr>
    </w:tbl>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157" w:beforeLines="50" w:after="157" w:afterLines="50"/>
        <w:ind w:leftChars="0"/>
        <w:jc w:val="both"/>
        <w:textAlignment w:val="auto"/>
        <w:outlineLvl w:val="1"/>
        <w:rPr>
          <w:rFonts w:hint="eastAsia" w:ascii="黑体" w:hAnsi="黑体" w:eastAsia="黑体" w:cs="黑体"/>
          <w:kern w:val="0"/>
          <w:sz w:val="21"/>
          <w:szCs w:val="21"/>
          <w:lang w:val="en-US" w:eastAsia="zh-CN" w:bidi="ar-SA"/>
        </w:rPr>
      </w:pPr>
      <w:bookmarkStart w:id="194" w:name="_Toc5011"/>
      <w:bookmarkStart w:id="195" w:name="_Toc80263654"/>
      <w:r>
        <w:rPr>
          <w:rFonts w:hint="eastAsia" w:ascii="黑体" w:hAnsi="黑体" w:eastAsia="黑体" w:cs="黑体"/>
          <w:kern w:val="0"/>
          <w:sz w:val="21"/>
          <w:szCs w:val="21"/>
          <w:lang w:val="en-US" w:eastAsia="zh-CN" w:bidi="ar-SA"/>
        </w:rPr>
        <w:t>B.7  物流妥投、总署退单信息申报报文【DEN507】</w:t>
      </w:r>
      <w:bookmarkEnd w:id="194"/>
      <w:bookmarkEnd w:id="195"/>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157" w:beforeLines="50" w:after="157" w:afterLines="50"/>
        <w:ind w:leftChars="0"/>
        <w:jc w:val="both"/>
        <w:textAlignment w:val="auto"/>
        <w:outlineLvl w:val="1"/>
        <w:rPr>
          <w:rFonts w:hint="eastAsia" w:ascii="黑体" w:hAnsi="黑体" w:eastAsia="黑体" w:cs="黑体"/>
          <w:kern w:val="0"/>
          <w:sz w:val="21"/>
          <w:szCs w:val="21"/>
          <w:lang w:val="en-US" w:eastAsia="zh-CN" w:bidi="ar-SA"/>
        </w:rPr>
      </w:pPr>
      <w:bookmarkStart w:id="196" w:name="_Toc80263655"/>
      <w:bookmarkStart w:id="197" w:name="_Toc17047"/>
      <w:r>
        <w:rPr>
          <w:rFonts w:hint="eastAsia" w:ascii="黑体" w:hAnsi="黑体" w:eastAsia="黑体" w:cs="黑体"/>
          <w:kern w:val="0"/>
          <w:sz w:val="21"/>
          <w:szCs w:val="21"/>
          <w:lang w:val="en-US" w:eastAsia="zh-CN" w:bidi="ar-SA"/>
        </w:rPr>
        <w:t>B.7.1  物流妥投、总署退单报文结构</w:t>
      </w:r>
      <w:bookmarkEnd w:id="196"/>
      <w:bookmarkEnd w:id="197"/>
    </w:p>
    <w:p>
      <w:pPr>
        <w:autoSpaceDE w:val="0"/>
        <w:autoSpaceDN w:val="0"/>
        <w:bidi w:val="0"/>
        <w:ind w:firstLine="420" w:firstLineChars="200"/>
        <w:jc w:val="left"/>
        <w:rPr>
          <w:rFonts w:hint="eastAsia" w:cs="宋体"/>
          <w:kern w:val="0"/>
          <w:sz w:val="21"/>
          <w:szCs w:val="21"/>
          <w:lang w:val="en-US" w:eastAsia="zh-CN" w:bidi="zh-CN"/>
        </w:rPr>
      </w:pPr>
      <w:r>
        <w:rPr>
          <w:rFonts w:hint="eastAsia" w:cs="宋体"/>
          <w:kern w:val="0"/>
          <w:sz w:val="21"/>
          <w:szCs w:val="21"/>
          <w:lang w:val="en-US" w:eastAsia="zh-CN" w:bidi="zh-CN"/>
        </w:rPr>
        <w:t>物流妥投、总署退单报文结构见图7。</w:t>
      </w:r>
    </w:p>
    <w:p>
      <w:pPr>
        <w:autoSpaceDE w:val="0"/>
        <w:autoSpaceDN w:val="0"/>
        <w:bidi w:val="0"/>
        <w:jc w:val="center"/>
        <w:rPr>
          <w:rFonts w:hint="eastAsia" w:cs="宋体"/>
          <w:kern w:val="0"/>
          <w:sz w:val="22"/>
          <w:szCs w:val="22"/>
          <w:lang w:val="en-US" w:eastAsia="zh-CN" w:bidi="zh-CN"/>
        </w:rPr>
      </w:pPr>
      <w:r>
        <w:rPr>
          <w:rFonts w:hint="eastAsia" w:cs="宋体"/>
          <w:kern w:val="0"/>
          <w:sz w:val="22"/>
          <w:szCs w:val="22"/>
          <w:lang w:val="en-US" w:eastAsia="zh-CN" w:bidi="zh-CN"/>
        </w:rPr>
        <w:drawing>
          <wp:inline distT="0" distB="0" distL="114300" distR="114300">
            <wp:extent cx="3952875" cy="4454525"/>
            <wp:effectExtent l="0" t="0" r="9525" b="3175"/>
            <wp:docPr id="27" name="图片 18" descr="DEN507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descr="DEN507Message"/>
                    <pic:cNvPicPr>
                      <a:picLocks noChangeAspect="1"/>
                    </pic:cNvPicPr>
                  </pic:nvPicPr>
                  <pic:blipFill>
                    <a:blip r:embed="rId29"/>
                    <a:stretch>
                      <a:fillRect/>
                    </a:stretch>
                  </pic:blipFill>
                  <pic:spPr>
                    <a:xfrm>
                      <a:off x="0" y="0"/>
                      <a:ext cx="3952875" cy="4454525"/>
                    </a:xfrm>
                    <a:prstGeom prst="rect">
                      <a:avLst/>
                    </a:prstGeom>
                    <a:noFill/>
                    <a:ln>
                      <a:noFill/>
                    </a:ln>
                  </pic:spPr>
                </pic:pic>
              </a:graphicData>
            </a:graphic>
          </wp:inline>
        </w:drawing>
      </w:r>
    </w:p>
    <w:p>
      <w:pPr>
        <w:keepNext/>
        <w:keepLines/>
        <w:widowControl w:val="0"/>
        <w:numPr>
          <w:ilvl w:val="255"/>
          <w:numId w:val="0"/>
        </w:numPr>
        <w:tabs>
          <w:tab w:val="left" w:pos="0"/>
        </w:tabs>
        <w:autoSpaceDE/>
        <w:autoSpaceDN/>
        <w:spacing w:before="156" w:beforeLines="50" w:after="156" w:afterLines="50"/>
        <w:ind w:left="0" w:firstLine="0"/>
        <w:jc w:val="center"/>
        <w:outlineLvl w:val="2"/>
        <w:rPr>
          <w:rFonts w:hint="eastAsia" w:ascii="黑体" w:hAnsi="黑体" w:eastAsia="黑体" w:cs="黑体"/>
          <w:bCs w:val="0"/>
          <w:kern w:val="2"/>
          <w:sz w:val="21"/>
          <w:szCs w:val="21"/>
          <w:lang w:val="en-US" w:eastAsia="zh-CN" w:bidi="ar-SA"/>
        </w:rPr>
      </w:pPr>
      <w:r>
        <w:rPr>
          <w:rFonts w:hint="eastAsia" w:ascii="黑体" w:hAnsi="黑体" w:eastAsia="黑体" w:cs="黑体"/>
          <w:bCs w:val="0"/>
          <w:kern w:val="2"/>
          <w:sz w:val="21"/>
          <w:szCs w:val="21"/>
          <w:lang w:val="en-US" w:eastAsia="zh-CN" w:bidi="ar-SA"/>
        </w:rPr>
        <w:t>图7  物流妥投、总署退单报文结构</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157" w:beforeLines="50" w:after="157" w:afterLines="50"/>
        <w:ind w:leftChars="0"/>
        <w:jc w:val="both"/>
        <w:textAlignment w:val="auto"/>
        <w:outlineLvl w:val="1"/>
        <w:rPr>
          <w:rFonts w:hint="eastAsia" w:ascii="黑体" w:hAnsi="黑体" w:eastAsia="黑体" w:cs="黑体"/>
          <w:kern w:val="0"/>
          <w:sz w:val="21"/>
          <w:szCs w:val="21"/>
          <w:lang w:val="en-US" w:eastAsia="zh-CN" w:bidi="ar-SA"/>
        </w:rPr>
      </w:pPr>
      <w:bookmarkStart w:id="198" w:name="_Toc80263656"/>
      <w:bookmarkStart w:id="199" w:name="_Toc26643"/>
      <w:r>
        <w:rPr>
          <w:rFonts w:hint="eastAsia" w:ascii="黑体" w:hAnsi="黑体" w:eastAsia="黑体" w:cs="黑体"/>
          <w:kern w:val="0"/>
          <w:sz w:val="21"/>
          <w:szCs w:val="21"/>
          <w:lang w:val="en-US" w:eastAsia="zh-CN" w:bidi="ar-SA"/>
        </w:rPr>
        <w:t>B.7.2  物流妥投、总署退单根节点</w:t>
      </w:r>
      <w:bookmarkEnd w:id="198"/>
      <w:bookmarkEnd w:id="199"/>
    </w:p>
    <w:p>
      <w:pPr>
        <w:numPr>
          <w:ilvl w:val="-1"/>
          <w:numId w:val="0"/>
        </w:numPr>
        <w:tabs>
          <w:tab w:val="left" w:pos="0"/>
          <w:tab w:val="center" w:pos="4201"/>
          <w:tab w:val="right" w:leader="dot" w:pos="9298"/>
        </w:tabs>
        <w:autoSpaceDE w:val="0"/>
        <w:autoSpaceDN w:val="0"/>
        <w:ind w:left="0" w:leftChars="0" w:firstLine="420" w:firstLineChars="200"/>
        <w:jc w:val="both"/>
        <w:rPr>
          <w:rFonts w:hint="eastAsia" w:ascii="宋体" w:hAnsi="Times New Roman" w:eastAsia="宋体" w:cs="Times New Roman"/>
          <w:kern w:val="0"/>
          <w:sz w:val="21"/>
          <w:szCs w:val="22"/>
          <w:lang w:val="en-US" w:eastAsia="zh-CN" w:bidi="ar-SA"/>
        </w:rPr>
      </w:pPr>
      <w:r>
        <w:rPr>
          <w:rFonts w:hint="eastAsia" w:ascii="宋体" w:hAnsi="Times New Roman" w:eastAsia="宋体" w:cs="Times New Roman"/>
          <w:kern w:val="0"/>
          <w:sz w:val="21"/>
          <w:szCs w:val="22"/>
          <w:lang w:val="en-US" w:eastAsia="zh-CN" w:bidi="ar-SA"/>
        </w:rPr>
        <w:t>DEN507Message 为物流妥投、总署退单报文 XML 根节点名称，包括 guid 和 version 两个属性，见表B.21。</w:t>
      </w:r>
    </w:p>
    <w:p>
      <w:pPr>
        <w:keepNext/>
        <w:keepLines/>
        <w:widowControl w:val="0"/>
        <w:numPr>
          <w:ilvl w:val="255"/>
          <w:numId w:val="0"/>
        </w:numPr>
        <w:tabs>
          <w:tab w:val="left" w:pos="0"/>
        </w:tabs>
        <w:autoSpaceDE/>
        <w:autoSpaceDN/>
        <w:spacing w:before="156" w:beforeLines="50" w:after="156" w:afterLines="50"/>
        <w:ind w:left="0" w:firstLine="0"/>
        <w:jc w:val="center"/>
        <w:outlineLvl w:val="2"/>
        <w:rPr>
          <w:rFonts w:hint="eastAsia" w:ascii="黑体" w:hAnsi="黑体" w:eastAsia="黑体" w:cs="黑体"/>
          <w:bCs w:val="0"/>
          <w:kern w:val="2"/>
          <w:sz w:val="21"/>
          <w:szCs w:val="21"/>
          <w:lang w:val="en-US" w:eastAsia="zh-CN" w:bidi="ar-SA"/>
        </w:rPr>
      </w:pPr>
      <w:r>
        <w:rPr>
          <w:rFonts w:hint="eastAsia" w:ascii="黑体" w:hAnsi="黑体" w:eastAsia="黑体" w:cs="黑体"/>
          <w:bCs w:val="0"/>
          <w:kern w:val="2"/>
          <w:sz w:val="21"/>
          <w:szCs w:val="21"/>
          <w:lang w:val="en-US" w:eastAsia="zh-CN" w:bidi="ar-SA"/>
        </w:rPr>
        <w:t>表B.21  DEN507Message节点的属性</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23"/>
        <w:gridCol w:w="1123"/>
        <w:gridCol w:w="900"/>
        <w:gridCol w:w="677"/>
        <w:gridCol w:w="46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23" w:type="dxa"/>
            <w:tcBorders>
              <w:bottom w:val="single" w:color="000000" w:sz="12" w:space="0"/>
            </w:tcBorders>
            <w:noWrap w:val="0"/>
            <w:vAlign w:val="center"/>
          </w:tcPr>
          <w:p>
            <w:pPr>
              <w:widowControl w:val="0"/>
              <w:autoSpaceDE w:val="0"/>
              <w:autoSpaceDN w:val="0"/>
              <w:spacing w:before="21"/>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名称</w:t>
            </w:r>
          </w:p>
        </w:tc>
        <w:tc>
          <w:tcPr>
            <w:tcW w:w="1123" w:type="dxa"/>
            <w:tcBorders>
              <w:bottom w:val="single" w:color="000000" w:sz="12" w:space="0"/>
            </w:tcBorders>
            <w:noWrap w:val="0"/>
            <w:vAlign w:val="center"/>
          </w:tcPr>
          <w:p>
            <w:pPr>
              <w:widowControl w:val="0"/>
              <w:autoSpaceDE w:val="0"/>
              <w:autoSpaceDN w:val="0"/>
              <w:spacing w:before="21"/>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英文名称</w:t>
            </w:r>
          </w:p>
        </w:tc>
        <w:tc>
          <w:tcPr>
            <w:tcW w:w="900" w:type="dxa"/>
            <w:tcBorders>
              <w:bottom w:val="single" w:color="000000" w:sz="12" w:space="0"/>
            </w:tcBorders>
            <w:noWrap w:val="0"/>
            <w:vAlign w:val="center"/>
          </w:tcPr>
          <w:p>
            <w:pPr>
              <w:widowControl w:val="0"/>
              <w:autoSpaceDE w:val="0"/>
              <w:autoSpaceDN w:val="0"/>
              <w:spacing w:before="21"/>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类型</w:t>
            </w:r>
          </w:p>
        </w:tc>
        <w:tc>
          <w:tcPr>
            <w:tcW w:w="677" w:type="dxa"/>
            <w:tcBorders>
              <w:bottom w:val="single" w:color="000000" w:sz="12" w:space="0"/>
            </w:tcBorders>
            <w:noWrap w:val="0"/>
            <w:vAlign w:val="center"/>
          </w:tcPr>
          <w:p>
            <w:pPr>
              <w:widowControl w:val="0"/>
              <w:autoSpaceDE w:val="0"/>
              <w:autoSpaceDN w:val="0"/>
              <w:spacing w:before="21"/>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必填</w:t>
            </w:r>
          </w:p>
        </w:tc>
        <w:tc>
          <w:tcPr>
            <w:tcW w:w="4698" w:type="dxa"/>
            <w:tcBorders>
              <w:bottom w:val="single" w:color="000000" w:sz="12" w:space="0"/>
            </w:tcBorders>
            <w:noWrap w:val="0"/>
            <w:vAlign w:val="center"/>
          </w:tcPr>
          <w:p>
            <w:pPr>
              <w:widowControl w:val="0"/>
              <w:autoSpaceDE w:val="0"/>
              <w:autoSpaceDN w:val="0"/>
              <w:spacing w:before="21"/>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23" w:type="dxa"/>
            <w:tcBorders>
              <w:top w:val="single" w:color="000000" w:sz="12" w:space="0"/>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报文编号</w:t>
            </w:r>
          </w:p>
        </w:tc>
        <w:tc>
          <w:tcPr>
            <w:tcW w:w="1123" w:type="dxa"/>
            <w:tcBorders>
              <w:top w:val="single" w:color="000000" w:sz="12" w:space="0"/>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guid</w:t>
            </w:r>
          </w:p>
        </w:tc>
        <w:tc>
          <w:tcPr>
            <w:tcW w:w="900" w:type="dxa"/>
            <w:tcBorders>
              <w:top w:val="single" w:color="000000" w:sz="12" w:space="0"/>
              <w:tl2br w:val="nil"/>
              <w:tr2bl w:val="nil"/>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an36</w:t>
            </w:r>
          </w:p>
        </w:tc>
        <w:tc>
          <w:tcPr>
            <w:tcW w:w="677" w:type="dxa"/>
            <w:tcBorders>
              <w:top w:val="single" w:color="000000" w:sz="12" w:space="0"/>
              <w:tl2br w:val="nil"/>
              <w:tr2bl w:val="nil"/>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是</w:t>
            </w:r>
          </w:p>
        </w:tc>
        <w:tc>
          <w:tcPr>
            <w:tcW w:w="4698" w:type="dxa"/>
            <w:tcBorders>
              <w:top w:val="single" w:color="000000" w:sz="12" w:space="0"/>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报文的36位系统唯一序号（英文字母大写）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23"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版本号</w:t>
            </w:r>
          </w:p>
        </w:tc>
        <w:tc>
          <w:tcPr>
            <w:tcW w:w="1123"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version</w:t>
            </w:r>
          </w:p>
        </w:tc>
        <w:tc>
          <w:tcPr>
            <w:tcW w:w="900" w:type="dxa"/>
            <w:tcBorders>
              <w:tl2br w:val="nil"/>
              <w:tr2bl w:val="nil"/>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an..10</w:t>
            </w:r>
          </w:p>
        </w:tc>
        <w:tc>
          <w:tcPr>
            <w:tcW w:w="677" w:type="dxa"/>
            <w:tcBorders>
              <w:tl2br w:val="nil"/>
              <w:tr2bl w:val="nil"/>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是</w:t>
            </w:r>
          </w:p>
        </w:tc>
        <w:tc>
          <w:tcPr>
            <w:tcW w:w="4698"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报文版本号，默认为1.0</w:t>
            </w:r>
          </w:p>
        </w:tc>
      </w:tr>
    </w:tbl>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157" w:beforeLines="50" w:after="157" w:afterLines="50"/>
        <w:ind w:leftChars="0"/>
        <w:jc w:val="both"/>
        <w:textAlignment w:val="auto"/>
        <w:outlineLvl w:val="1"/>
        <w:rPr>
          <w:rFonts w:hint="eastAsia" w:ascii="黑体" w:hAnsi="黑体" w:eastAsia="黑体" w:cs="黑体"/>
          <w:kern w:val="0"/>
          <w:sz w:val="21"/>
          <w:szCs w:val="21"/>
          <w:lang w:val="en-US" w:eastAsia="zh-CN" w:bidi="ar-SA"/>
        </w:rPr>
      </w:pPr>
      <w:bookmarkStart w:id="200" w:name="_Toc80263657"/>
      <w:bookmarkStart w:id="201" w:name="_Toc10039"/>
      <w:r>
        <w:rPr>
          <w:rFonts w:hint="eastAsia" w:ascii="黑体" w:hAnsi="黑体" w:eastAsia="黑体" w:cs="黑体"/>
          <w:kern w:val="0"/>
          <w:sz w:val="21"/>
          <w:szCs w:val="21"/>
          <w:lang w:val="en-US" w:eastAsia="zh-CN" w:bidi="ar-SA"/>
        </w:rPr>
        <w:t>B.7.3  物流妥投、总署退单业务节点描述</w:t>
      </w:r>
      <w:bookmarkEnd w:id="200"/>
      <w:bookmarkEnd w:id="201"/>
    </w:p>
    <w:p>
      <w:pPr>
        <w:autoSpaceDE w:val="0"/>
        <w:autoSpaceDN w:val="0"/>
        <w:bidi w:val="0"/>
        <w:ind w:firstLine="440" w:firstLineChars="200"/>
        <w:jc w:val="left"/>
        <w:rPr>
          <w:rFonts w:hint="default" w:cs="宋体"/>
          <w:kern w:val="0"/>
          <w:sz w:val="22"/>
          <w:szCs w:val="22"/>
          <w:lang w:val="en-US" w:eastAsia="zh-CN" w:bidi="zh-CN"/>
        </w:rPr>
      </w:pPr>
      <w:r>
        <w:rPr>
          <w:rFonts w:hint="eastAsia" w:cs="宋体"/>
          <w:kern w:val="0"/>
          <w:sz w:val="22"/>
          <w:szCs w:val="22"/>
          <w:lang w:val="en-US" w:eastAsia="zh-CN" w:bidi="zh-CN"/>
        </w:rPr>
        <w:t>物流妥投、总署退单业务节点描述见表B.22。</w:t>
      </w:r>
    </w:p>
    <w:p>
      <w:pPr>
        <w:keepNext/>
        <w:keepLines/>
        <w:widowControl w:val="0"/>
        <w:numPr>
          <w:ilvl w:val="255"/>
          <w:numId w:val="0"/>
        </w:numPr>
        <w:tabs>
          <w:tab w:val="left" w:pos="0"/>
        </w:tabs>
        <w:autoSpaceDE w:val="0"/>
        <w:autoSpaceDN w:val="0"/>
        <w:spacing w:before="156" w:beforeLines="50" w:after="156" w:afterLines="50"/>
        <w:ind w:left="0" w:firstLine="0"/>
        <w:jc w:val="center"/>
        <w:outlineLvl w:val="2"/>
        <w:rPr>
          <w:rFonts w:hint="eastAsia" w:ascii="黑体" w:hAnsi="黑体" w:eastAsia="黑体" w:cs="黑体"/>
          <w:bCs w:val="0"/>
          <w:kern w:val="2"/>
          <w:sz w:val="21"/>
          <w:szCs w:val="21"/>
          <w:lang w:val="en-US" w:eastAsia="zh-CN" w:bidi="ar-SA"/>
        </w:rPr>
      </w:pPr>
      <w:r>
        <w:rPr>
          <w:rFonts w:hint="eastAsia" w:ascii="黑体" w:hAnsi="黑体" w:eastAsia="黑体" w:cs="黑体"/>
          <w:bCs w:val="0"/>
          <w:kern w:val="2"/>
          <w:sz w:val="21"/>
          <w:szCs w:val="21"/>
          <w:lang w:val="en-US" w:eastAsia="zh-CN" w:bidi="ar-SA"/>
        </w:rPr>
        <w:t>表B.22  物流妥投、总署退单业务节点描述</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13" w:type="dxa"/>
          <w:bottom w:w="0" w:type="dxa"/>
          <w:right w:w="0" w:type="dxa"/>
        </w:tblCellMar>
      </w:tblPr>
      <w:tblGrid>
        <w:gridCol w:w="1972"/>
        <w:gridCol w:w="1361"/>
        <w:gridCol w:w="912"/>
        <w:gridCol w:w="669"/>
        <w:gridCol w:w="360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7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中文名称</w:t>
            </w:r>
          </w:p>
        </w:tc>
        <w:tc>
          <w:tcPr>
            <w:tcW w:w="136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英文名称</w:t>
            </w:r>
          </w:p>
        </w:tc>
        <w:tc>
          <w:tcPr>
            <w:tcW w:w="91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数据格式</w:t>
            </w:r>
          </w:p>
        </w:tc>
        <w:tc>
          <w:tcPr>
            <w:tcW w:w="66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必填</w:t>
            </w:r>
          </w:p>
        </w:tc>
        <w:tc>
          <w:tcPr>
            <w:tcW w:w="3607"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8521" w:type="dxa"/>
            <w:gridSpan w:val="5"/>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RefundArrival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7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系统唯一序号</w:t>
            </w:r>
          </w:p>
        </w:tc>
        <w:tc>
          <w:tcPr>
            <w:tcW w:w="136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guid</w:t>
            </w:r>
          </w:p>
        </w:tc>
        <w:tc>
          <w:tcPr>
            <w:tcW w:w="91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C36</w:t>
            </w:r>
          </w:p>
        </w:tc>
        <w:tc>
          <w:tcPr>
            <w:tcW w:w="66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607"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企业系统生成36位唯一序号（英文字母大写）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7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报送类型</w:t>
            </w:r>
          </w:p>
        </w:tc>
        <w:tc>
          <w:tcPr>
            <w:tcW w:w="136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appType</w:t>
            </w:r>
          </w:p>
        </w:tc>
        <w:tc>
          <w:tcPr>
            <w:tcW w:w="91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w:t>
            </w:r>
          </w:p>
        </w:tc>
        <w:tc>
          <w:tcPr>
            <w:tcW w:w="66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607"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企业报送类型。1-新增 2-变更 3-删除。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7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报送时间</w:t>
            </w:r>
          </w:p>
        </w:tc>
        <w:tc>
          <w:tcPr>
            <w:tcW w:w="136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appTime</w:t>
            </w:r>
          </w:p>
        </w:tc>
        <w:tc>
          <w:tcPr>
            <w:tcW w:w="91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C14</w:t>
            </w:r>
          </w:p>
        </w:tc>
        <w:tc>
          <w:tcPr>
            <w:tcW w:w="66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607"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企业报送时间 格式:YYYYMMDDhhmmss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7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报送状态</w:t>
            </w:r>
          </w:p>
        </w:tc>
        <w:tc>
          <w:tcPr>
            <w:tcW w:w="136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appStatus</w:t>
            </w:r>
          </w:p>
        </w:tc>
        <w:tc>
          <w:tcPr>
            <w:tcW w:w="91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w:t>
            </w:r>
          </w:p>
        </w:tc>
        <w:tc>
          <w:tcPr>
            <w:tcW w:w="66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607"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企业报送状态。默认填写2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7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申报地海关代码</w:t>
            </w:r>
          </w:p>
        </w:tc>
        <w:tc>
          <w:tcPr>
            <w:tcW w:w="136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customsCode</w:t>
            </w:r>
          </w:p>
        </w:tc>
        <w:tc>
          <w:tcPr>
            <w:tcW w:w="91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C4</w:t>
            </w:r>
          </w:p>
        </w:tc>
        <w:tc>
          <w:tcPr>
            <w:tcW w:w="66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607"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接受申报的海关关区代码，参照JGS/T 18《海关关区代码》。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7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运单号</w:t>
            </w:r>
          </w:p>
        </w:tc>
        <w:tc>
          <w:tcPr>
            <w:tcW w:w="136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logisticsNo</w:t>
            </w:r>
          </w:p>
        </w:tc>
        <w:tc>
          <w:tcPr>
            <w:tcW w:w="91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C..80</w:t>
            </w:r>
          </w:p>
        </w:tc>
        <w:tc>
          <w:tcPr>
            <w:tcW w:w="66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607"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物流企业的运单包裹面单号。同一物流企业的运单编号不重复。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7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出口物流申报企业名称</w:t>
            </w:r>
          </w:p>
        </w:tc>
        <w:tc>
          <w:tcPr>
            <w:tcW w:w="136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logisticsName</w:t>
            </w:r>
          </w:p>
        </w:tc>
        <w:tc>
          <w:tcPr>
            <w:tcW w:w="91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C..100</w:t>
            </w:r>
          </w:p>
        </w:tc>
        <w:tc>
          <w:tcPr>
            <w:tcW w:w="66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607"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物流企业在海关注册登记的名称。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7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出口物流申报企业编码</w:t>
            </w:r>
          </w:p>
        </w:tc>
        <w:tc>
          <w:tcPr>
            <w:tcW w:w="136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logisticsCode</w:t>
            </w:r>
          </w:p>
        </w:tc>
        <w:tc>
          <w:tcPr>
            <w:tcW w:w="91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C..18</w:t>
            </w:r>
          </w:p>
        </w:tc>
        <w:tc>
          <w:tcPr>
            <w:tcW w:w="66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607"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物流企业的海关注册登记编号。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7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包裹状态</w:t>
            </w:r>
          </w:p>
        </w:tc>
        <w:tc>
          <w:tcPr>
            <w:tcW w:w="136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packageStatus</w:t>
            </w:r>
          </w:p>
        </w:tc>
        <w:tc>
          <w:tcPr>
            <w:tcW w:w="91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w:t>
            </w:r>
          </w:p>
        </w:tc>
        <w:tc>
          <w:tcPr>
            <w:tcW w:w="66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607"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包裹状态(1-放行、2-妥投、3-销毁、4-退单、5-扣货)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7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退货放行时间</w:t>
            </w:r>
          </w:p>
        </w:tc>
        <w:tc>
          <w:tcPr>
            <w:tcW w:w="136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releaseTime</w:t>
            </w:r>
          </w:p>
        </w:tc>
        <w:tc>
          <w:tcPr>
            <w:tcW w:w="91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C14</w:t>
            </w:r>
          </w:p>
        </w:tc>
        <w:tc>
          <w:tcPr>
            <w:tcW w:w="66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否</w:t>
            </w:r>
          </w:p>
        </w:tc>
        <w:tc>
          <w:tcPr>
            <w:tcW w:w="3607"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退货放行时间，格式:yyyyMMddHHmmss；packageStatus为1-放行时必填</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7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退货派送分拨渠道名称</w:t>
            </w:r>
          </w:p>
        </w:tc>
        <w:tc>
          <w:tcPr>
            <w:tcW w:w="136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channelName</w:t>
            </w:r>
          </w:p>
        </w:tc>
        <w:tc>
          <w:tcPr>
            <w:tcW w:w="91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C..100</w:t>
            </w:r>
          </w:p>
        </w:tc>
        <w:tc>
          <w:tcPr>
            <w:tcW w:w="66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否</w:t>
            </w:r>
          </w:p>
        </w:tc>
        <w:tc>
          <w:tcPr>
            <w:tcW w:w="3607"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退货派送分拨渠道名称</w:t>
            </w:r>
          </w:p>
          <w:p>
            <w:pPr>
              <w:pStyle w:val="47"/>
              <w:jc w:val="left"/>
              <w:rPr>
                <w:rFonts w:hint="eastAsia" w:ascii="宋体" w:hAnsi="宋体" w:eastAsia="宋体" w:cs="宋体"/>
                <w:sz w:val="18"/>
                <w:szCs w:val="18"/>
              </w:rPr>
            </w:pPr>
            <w:r>
              <w:rPr>
                <w:rFonts w:hint="eastAsia" w:ascii="宋体" w:hAnsi="宋体" w:eastAsia="宋体" w:cs="宋体"/>
                <w:sz w:val="18"/>
                <w:szCs w:val="18"/>
              </w:rPr>
              <w:t>packageStatus为2-妥投时必填</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7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退货妥投时间</w:t>
            </w:r>
          </w:p>
        </w:tc>
        <w:tc>
          <w:tcPr>
            <w:tcW w:w="136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arrivalTime</w:t>
            </w:r>
          </w:p>
        </w:tc>
        <w:tc>
          <w:tcPr>
            <w:tcW w:w="91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C14</w:t>
            </w:r>
          </w:p>
        </w:tc>
        <w:tc>
          <w:tcPr>
            <w:tcW w:w="66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否</w:t>
            </w:r>
          </w:p>
        </w:tc>
        <w:tc>
          <w:tcPr>
            <w:tcW w:w="3607"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退货妥投时间，格式:yyyyMMddHHmmss</w:t>
            </w:r>
          </w:p>
          <w:p>
            <w:pPr>
              <w:pStyle w:val="47"/>
              <w:jc w:val="left"/>
              <w:rPr>
                <w:rFonts w:hint="eastAsia" w:ascii="宋体" w:hAnsi="宋体" w:eastAsia="宋体" w:cs="宋体"/>
                <w:sz w:val="18"/>
                <w:szCs w:val="18"/>
              </w:rPr>
            </w:pPr>
            <w:r>
              <w:rPr>
                <w:rFonts w:hint="eastAsia" w:ascii="宋体" w:hAnsi="宋体" w:eastAsia="宋体" w:cs="宋体"/>
                <w:sz w:val="18"/>
                <w:szCs w:val="18"/>
              </w:rPr>
              <w:t>packageStatus为2-妥投时必填</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7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退货扣货时间</w:t>
            </w:r>
          </w:p>
        </w:tc>
        <w:tc>
          <w:tcPr>
            <w:tcW w:w="136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detainTime</w:t>
            </w:r>
          </w:p>
        </w:tc>
        <w:tc>
          <w:tcPr>
            <w:tcW w:w="91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C14</w:t>
            </w:r>
          </w:p>
        </w:tc>
        <w:tc>
          <w:tcPr>
            <w:tcW w:w="66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否</w:t>
            </w:r>
          </w:p>
        </w:tc>
        <w:tc>
          <w:tcPr>
            <w:tcW w:w="3607"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扣货销毁时间，格式:yyyyMMddHHmmss</w:t>
            </w:r>
          </w:p>
          <w:p>
            <w:pPr>
              <w:pStyle w:val="47"/>
              <w:jc w:val="left"/>
              <w:rPr>
                <w:rFonts w:hint="eastAsia" w:ascii="宋体" w:hAnsi="宋体" w:eastAsia="宋体" w:cs="宋体"/>
                <w:sz w:val="18"/>
                <w:szCs w:val="18"/>
              </w:rPr>
            </w:pPr>
            <w:r>
              <w:rPr>
                <w:rFonts w:hint="eastAsia" w:ascii="宋体" w:hAnsi="宋体" w:eastAsia="宋体" w:cs="宋体"/>
                <w:sz w:val="18"/>
                <w:szCs w:val="18"/>
              </w:rPr>
              <w:t>packageStatus为5-扣货时必填</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7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退货扣货原因</w:t>
            </w:r>
          </w:p>
        </w:tc>
        <w:tc>
          <w:tcPr>
            <w:tcW w:w="136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detainReason</w:t>
            </w:r>
          </w:p>
        </w:tc>
        <w:tc>
          <w:tcPr>
            <w:tcW w:w="91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C..500</w:t>
            </w:r>
          </w:p>
        </w:tc>
        <w:tc>
          <w:tcPr>
            <w:tcW w:w="66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否</w:t>
            </w:r>
          </w:p>
        </w:tc>
        <w:tc>
          <w:tcPr>
            <w:tcW w:w="3607"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退货扣货原因packageStatus为5-扣货时必填</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7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扣货销毁时间</w:t>
            </w:r>
          </w:p>
        </w:tc>
        <w:tc>
          <w:tcPr>
            <w:tcW w:w="136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destroyTime</w:t>
            </w:r>
          </w:p>
        </w:tc>
        <w:tc>
          <w:tcPr>
            <w:tcW w:w="91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C14</w:t>
            </w:r>
          </w:p>
        </w:tc>
        <w:tc>
          <w:tcPr>
            <w:tcW w:w="66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否</w:t>
            </w:r>
          </w:p>
        </w:tc>
        <w:tc>
          <w:tcPr>
            <w:tcW w:w="3607"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扣货销毁时间，格式:yyyyMMddHHmmss</w:t>
            </w:r>
          </w:p>
          <w:p>
            <w:pPr>
              <w:pStyle w:val="47"/>
              <w:jc w:val="left"/>
              <w:rPr>
                <w:rFonts w:hint="eastAsia" w:ascii="宋体" w:hAnsi="宋体" w:eastAsia="宋体" w:cs="宋体"/>
                <w:sz w:val="18"/>
                <w:szCs w:val="18"/>
              </w:rPr>
            </w:pPr>
            <w:r>
              <w:rPr>
                <w:rFonts w:hint="eastAsia" w:ascii="宋体" w:hAnsi="宋体" w:eastAsia="宋体" w:cs="宋体"/>
                <w:sz w:val="18"/>
                <w:szCs w:val="18"/>
              </w:rPr>
              <w:t>packageStatus为3-销毁时必填</w:t>
            </w:r>
          </w:p>
        </w:tc>
      </w:tr>
    </w:tbl>
    <w:p>
      <w:pPr>
        <w:widowControl w:val="0"/>
        <w:autoSpaceDE w:val="0"/>
        <w:autoSpaceDN w:val="0"/>
        <w:spacing w:before="160"/>
        <w:rPr>
          <w:rFonts w:hint="eastAsia" w:ascii="黑体" w:hAnsi="黑体" w:eastAsia="黑体" w:cs="黑体"/>
          <w:sz w:val="21"/>
          <w:szCs w:val="21"/>
          <w:lang w:val="en-US" w:eastAsia="zh-CN" w:bidi="ar-SA"/>
        </w:rPr>
      </w:pPr>
      <w:bookmarkStart w:id="202" w:name="_Toc80263658"/>
      <w:r>
        <w:rPr>
          <w:rFonts w:hint="eastAsia" w:ascii="黑体" w:hAnsi="黑体" w:eastAsia="黑体" w:cs="黑体"/>
          <w:sz w:val="21"/>
          <w:szCs w:val="21"/>
          <w:lang w:val="en-US" w:eastAsia="zh-CN" w:bidi="ar-SA"/>
        </w:rPr>
        <w:t>B.7.3  基础报文传输实体节点</w:t>
      </w:r>
    </w:p>
    <w:p>
      <w:pPr>
        <w:numPr>
          <w:ilvl w:val="-1"/>
          <w:numId w:val="0"/>
        </w:numPr>
        <w:tabs>
          <w:tab w:val="left" w:pos="0"/>
          <w:tab w:val="center" w:pos="4201"/>
          <w:tab w:val="right" w:leader="dot" w:pos="9298"/>
        </w:tabs>
        <w:autoSpaceDE w:val="0"/>
        <w:autoSpaceDN w:val="0"/>
        <w:ind w:left="0" w:leftChars="0" w:firstLine="420" w:firstLineChars="200"/>
        <w:jc w:val="both"/>
        <w:rPr>
          <w:rFonts w:hint="eastAsia" w:ascii="宋体" w:hAnsi="Times New Roman" w:eastAsia="宋体" w:cs="Times New Roman"/>
          <w:kern w:val="0"/>
          <w:sz w:val="21"/>
          <w:szCs w:val="22"/>
          <w:lang w:val="en-US" w:eastAsia="zh-CN" w:bidi="ar-SA"/>
        </w:rPr>
      </w:pPr>
      <w:r>
        <w:rPr>
          <w:rFonts w:hint="eastAsia" w:ascii="宋体" w:hAnsi="Times New Roman" w:eastAsia="宋体" w:cs="Times New Roman"/>
          <w:kern w:val="0"/>
          <w:sz w:val="21"/>
          <w:szCs w:val="22"/>
          <w:lang w:val="en-US" w:eastAsia="zh-CN" w:bidi="ar-SA"/>
        </w:rPr>
        <w:t>基础报文传输实体节点见表B.23。</w:t>
      </w:r>
    </w:p>
    <w:p>
      <w:pPr>
        <w:keepNext/>
        <w:keepLines/>
        <w:widowControl w:val="0"/>
        <w:numPr>
          <w:ilvl w:val="255"/>
          <w:numId w:val="0"/>
        </w:numPr>
        <w:tabs>
          <w:tab w:val="left" w:pos="0"/>
        </w:tabs>
        <w:autoSpaceDE w:val="0"/>
        <w:autoSpaceDN w:val="0"/>
        <w:spacing w:before="156" w:beforeLines="50" w:after="156" w:afterLines="50"/>
        <w:ind w:left="0" w:firstLine="0"/>
        <w:jc w:val="center"/>
        <w:outlineLvl w:val="2"/>
        <w:rPr>
          <w:rFonts w:hint="eastAsia" w:ascii="黑体" w:hAnsi="黑体" w:eastAsia="黑体" w:cs="黑体"/>
          <w:bCs w:val="0"/>
          <w:kern w:val="2"/>
          <w:sz w:val="21"/>
          <w:szCs w:val="21"/>
          <w:lang w:val="en-US" w:eastAsia="zh-CN" w:bidi="ar-SA"/>
        </w:rPr>
      </w:pPr>
      <w:r>
        <w:rPr>
          <w:rFonts w:hint="eastAsia" w:ascii="黑体" w:hAnsi="黑体" w:eastAsia="黑体" w:cs="黑体"/>
          <w:bCs w:val="0"/>
          <w:kern w:val="2"/>
          <w:sz w:val="21"/>
          <w:szCs w:val="21"/>
          <w:lang w:val="en-US" w:eastAsia="zh-CN" w:bidi="ar-SA"/>
        </w:rPr>
        <w:t>表B.23  基础报文传输实体节点</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83"/>
        <w:gridCol w:w="978"/>
        <w:gridCol w:w="915"/>
        <w:gridCol w:w="681"/>
        <w:gridCol w:w="456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83"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中文名称</w:t>
            </w:r>
          </w:p>
        </w:tc>
        <w:tc>
          <w:tcPr>
            <w:tcW w:w="978"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英文名称</w:t>
            </w:r>
          </w:p>
        </w:tc>
        <w:tc>
          <w:tcPr>
            <w:tcW w:w="915"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数据格式</w:t>
            </w:r>
          </w:p>
        </w:tc>
        <w:tc>
          <w:tcPr>
            <w:tcW w:w="681"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必填</w:t>
            </w:r>
          </w:p>
        </w:tc>
        <w:tc>
          <w:tcPr>
            <w:tcW w:w="4564"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83"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传输企业代码</w:t>
            </w:r>
          </w:p>
        </w:tc>
        <w:tc>
          <w:tcPr>
            <w:tcW w:w="978"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copCode</w:t>
            </w:r>
          </w:p>
        </w:tc>
        <w:tc>
          <w:tcPr>
            <w:tcW w:w="915"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C..18</w:t>
            </w:r>
          </w:p>
        </w:tc>
        <w:tc>
          <w:tcPr>
            <w:tcW w:w="681"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4564" w:type="dxa"/>
            <w:tcBorders>
              <w:top w:val="single" w:color="000000" w:sz="12" w:space="0"/>
              <w:tl2br w:val="nil"/>
              <w:tr2bl w:val="nil"/>
            </w:tcBorders>
            <w:noWrap w:val="0"/>
            <w:vAlign w:val="center"/>
          </w:tcPr>
          <w:p>
            <w:pPr>
              <w:pStyle w:val="47"/>
              <w:rPr>
                <w:rFonts w:hint="eastAsia" w:ascii="宋体" w:hAnsi="宋体" w:eastAsia="宋体" w:cs="宋体"/>
                <w:sz w:val="18"/>
                <w:szCs w:val="18"/>
              </w:rPr>
            </w:pPr>
            <w:r>
              <w:rPr>
                <w:rFonts w:hint="eastAsia" w:ascii="宋体" w:hAnsi="宋体" w:eastAsia="宋体" w:cs="宋体"/>
                <w:sz w:val="18"/>
                <w:szCs w:val="18"/>
              </w:rPr>
              <w:t>报文传输的企业代码（需要与接入客户端的企业身份一致）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3" w:hRule="atLeast"/>
          <w:jc w:val="center"/>
        </w:trPr>
        <w:tc>
          <w:tcPr>
            <w:tcW w:w="138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传输企业名称</w:t>
            </w:r>
          </w:p>
        </w:tc>
        <w:tc>
          <w:tcPr>
            <w:tcW w:w="97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copName</w:t>
            </w:r>
          </w:p>
        </w:tc>
        <w:tc>
          <w:tcPr>
            <w:tcW w:w="9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C..100</w:t>
            </w:r>
          </w:p>
        </w:tc>
        <w:tc>
          <w:tcPr>
            <w:tcW w:w="6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4564" w:type="dxa"/>
            <w:tcBorders>
              <w:tl2br w:val="nil"/>
              <w:tr2bl w:val="nil"/>
            </w:tcBorders>
            <w:noWrap w:val="0"/>
            <w:vAlign w:val="center"/>
          </w:tcPr>
          <w:p>
            <w:pPr>
              <w:pStyle w:val="47"/>
              <w:rPr>
                <w:rFonts w:hint="eastAsia" w:ascii="宋体" w:hAnsi="宋体" w:eastAsia="宋体" w:cs="宋体"/>
                <w:sz w:val="18"/>
                <w:szCs w:val="18"/>
              </w:rPr>
            </w:pPr>
            <w:r>
              <w:rPr>
                <w:rFonts w:hint="eastAsia" w:ascii="宋体" w:hAnsi="宋体" w:eastAsia="宋体" w:cs="宋体"/>
                <w:sz w:val="18"/>
                <w:szCs w:val="18"/>
              </w:rPr>
              <w:t>报文传输的企业名称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8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报文传输模式</w:t>
            </w:r>
          </w:p>
        </w:tc>
        <w:tc>
          <w:tcPr>
            <w:tcW w:w="97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dxpMode</w:t>
            </w:r>
          </w:p>
        </w:tc>
        <w:tc>
          <w:tcPr>
            <w:tcW w:w="9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w:t>
            </w:r>
          </w:p>
        </w:tc>
        <w:tc>
          <w:tcPr>
            <w:tcW w:w="6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4564" w:type="dxa"/>
            <w:tcBorders>
              <w:tl2br w:val="nil"/>
              <w:tr2bl w:val="nil"/>
            </w:tcBorders>
            <w:noWrap w:val="0"/>
            <w:vAlign w:val="center"/>
          </w:tcPr>
          <w:p>
            <w:pPr>
              <w:pStyle w:val="47"/>
              <w:rPr>
                <w:rFonts w:hint="eastAsia" w:ascii="宋体" w:hAnsi="宋体" w:eastAsia="宋体" w:cs="宋体"/>
                <w:sz w:val="18"/>
                <w:szCs w:val="18"/>
              </w:rPr>
            </w:pPr>
            <w:r>
              <w:rPr>
                <w:rFonts w:hint="eastAsia" w:ascii="宋体" w:hAnsi="宋体" w:eastAsia="宋体" w:cs="宋体"/>
                <w:sz w:val="18"/>
                <w:szCs w:val="18"/>
              </w:rPr>
              <w:t>默认为DXP；指中国电子口岸数据交换平台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3" w:hRule="atLeast"/>
          <w:jc w:val="center"/>
        </w:trPr>
        <w:tc>
          <w:tcPr>
            <w:tcW w:w="138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报文传输编号</w:t>
            </w:r>
          </w:p>
        </w:tc>
        <w:tc>
          <w:tcPr>
            <w:tcW w:w="97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dxpId</w:t>
            </w:r>
          </w:p>
        </w:tc>
        <w:tc>
          <w:tcPr>
            <w:tcW w:w="9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C..30</w:t>
            </w:r>
          </w:p>
        </w:tc>
        <w:tc>
          <w:tcPr>
            <w:tcW w:w="6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4564" w:type="dxa"/>
            <w:tcBorders>
              <w:tl2br w:val="nil"/>
              <w:tr2bl w:val="nil"/>
            </w:tcBorders>
            <w:noWrap w:val="0"/>
            <w:vAlign w:val="center"/>
          </w:tcPr>
          <w:p>
            <w:pPr>
              <w:pStyle w:val="47"/>
              <w:rPr>
                <w:rFonts w:hint="eastAsia" w:ascii="宋体" w:hAnsi="宋体" w:eastAsia="宋体" w:cs="宋体"/>
                <w:sz w:val="18"/>
                <w:szCs w:val="18"/>
              </w:rPr>
            </w:pPr>
            <w:r>
              <w:rPr>
                <w:rFonts w:hint="eastAsia" w:ascii="宋体" w:hAnsi="宋体" w:eastAsia="宋体" w:cs="宋体"/>
                <w:sz w:val="18"/>
                <w:szCs w:val="18"/>
              </w:rPr>
              <w:t>向中国电子口岸数据中心申请数据交换平台的用户编号</w:t>
            </w:r>
          </w:p>
        </w:tc>
      </w:tr>
    </w:tbl>
    <w:p>
      <w:pPr>
        <w:widowControl w:val="0"/>
        <w:autoSpaceDE w:val="0"/>
        <w:autoSpaceDN w:val="0"/>
        <w:spacing w:before="160"/>
        <w:rPr>
          <w:rFonts w:hint="eastAsia" w:ascii="黑体" w:hAnsi="黑体" w:eastAsia="黑体" w:cs="黑体"/>
          <w:sz w:val="21"/>
          <w:szCs w:val="21"/>
          <w:lang w:val="en-US" w:eastAsia="zh-CN" w:bidi="ar-SA"/>
        </w:rPr>
      </w:pPr>
      <w:r>
        <w:rPr>
          <w:rFonts w:hint="eastAsia" w:ascii="黑体" w:hAnsi="黑体" w:eastAsia="黑体" w:cs="黑体"/>
          <w:sz w:val="21"/>
          <w:szCs w:val="21"/>
          <w:lang w:val="en-US" w:eastAsia="zh-CN" w:bidi="ar-SA"/>
        </w:rPr>
        <w:t>B.8  物流妥投、总署退单回执报文【DEN508】</w:t>
      </w:r>
      <w:bookmarkEnd w:id="202"/>
    </w:p>
    <w:p>
      <w:pPr>
        <w:widowControl w:val="0"/>
        <w:autoSpaceDE w:val="0"/>
        <w:autoSpaceDN w:val="0"/>
        <w:spacing w:before="160"/>
        <w:rPr>
          <w:rFonts w:hint="eastAsia" w:ascii="黑体" w:hAnsi="黑体" w:eastAsia="黑体" w:cs="黑体"/>
          <w:sz w:val="21"/>
          <w:szCs w:val="21"/>
          <w:lang w:val="en-US" w:eastAsia="zh-CN" w:bidi="ar-SA"/>
        </w:rPr>
      </w:pPr>
      <w:bookmarkStart w:id="203" w:name="_Toc80263659"/>
      <w:r>
        <w:rPr>
          <w:rFonts w:hint="eastAsia" w:ascii="黑体" w:hAnsi="黑体" w:eastAsia="黑体" w:cs="黑体"/>
          <w:sz w:val="21"/>
          <w:szCs w:val="21"/>
          <w:lang w:val="en-US" w:eastAsia="zh-CN" w:bidi="ar-SA"/>
        </w:rPr>
        <w:t>B.8.1  物流妥投、总署退单回执报文结构</w:t>
      </w:r>
      <w:bookmarkEnd w:id="203"/>
    </w:p>
    <w:p>
      <w:pPr>
        <w:autoSpaceDE w:val="0"/>
        <w:autoSpaceDN w:val="0"/>
        <w:bidi w:val="0"/>
        <w:ind w:firstLine="440" w:firstLineChars="200"/>
        <w:jc w:val="left"/>
        <w:rPr>
          <w:rFonts w:hint="eastAsia" w:cs="宋体"/>
          <w:kern w:val="0"/>
          <w:sz w:val="22"/>
          <w:szCs w:val="22"/>
          <w:lang w:val="en-US" w:eastAsia="zh-CN" w:bidi="zh-CN"/>
        </w:rPr>
      </w:pPr>
      <w:r>
        <w:rPr>
          <w:rFonts w:hint="eastAsia" w:cs="宋体"/>
          <w:kern w:val="0"/>
          <w:sz w:val="22"/>
          <w:szCs w:val="22"/>
          <w:lang w:val="en-US" w:eastAsia="zh-CN" w:bidi="zh-CN"/>
        </w:rPr>
        <w:t>物流妥投、总署退单回执报文结构见图8。</w:t>
      </w:r>
    </w:p>
    <w:p>
      <w:pPr>
        <w:widowControl w:val="0"/>
        <w:autoSpaceDE w:val="0"/>
        <w:autoSpaceDN w:val="0"/>
        <w:jc w:val="center"/>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drawing>
          <wp:inline distT="0" distB="0" distL="114300" distR="114300">
            <wp:extent cx="3998595" cy="1946910"/>
            <wp:effectExtent l="0" t="0" r="1905" b="15240"/>
            <wp:docPr id="25" name="图片 19" descr="DEN508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DEN508Message"/>
                    <pic:cNvPicPr>
                      <a:picLocks noChangeAspect="1"/>
                    </pic:cNvPicPr>
                  </pic:nvPicPr>
                  <pic:blipFill>
                    <a:blip r:embed="rId30"/>
                    <a:stretch>
                      <a:fillRect/>
                    </a:stretch>
                  </pic:blipFill>
                  <pic:spPr>
                    <a:xfrm>
                      <a:off x="0" y="0"/>
                      <a:ext cx="3998595" cy="1946910"/>
                    </a:xfrm>
                    <a:prstGeom prst="rect">
                      <a:avLst/>
                    </a:prstGeom>
                    <a:noFill/>
                    <a:ln>
                      <a:noFill/>
                    </a:ln>
                  </pic:spPr>
                </pic:pic>
              </a:graphicData>
            </a:graphic>
          </wp:inline>
        </w:drawing>
      </w:r>
    </w:p>
    <w:p>
      <w:pPr>
        <w:keepNext/>
        <w:keepLines/>
        <w:widowControl w:val="0"/>
        <w:numPr>
          <w:ilvl w:val="255"/>
          <w:numId w:val="0"/>
        </w:numPr>
        <w:tabs>
          <w:tab w:val="left" w:pos="0"/>
        </w:tabs>
        <w:autoSpaceDE/>
        <w:autoSpaceDN/>
        <w:spacing w:before="156" w:beforeLines="50" w:after="156" w:afterLines="50"/>
        <w:ind w:left="0" w:firstLine="0"/>
        <w:jc w:val="center"/>
        <w:outlineLvl w:val="2"/>
        <w:rPr>
          <w:rFonts w:hint="eastAsia" w:ascii="黑体" w:hAnsi="黑体" w:eastAsia="黑体" w:cs="黑体"/>
          <w:bCs w:val="0"/>
          <w:kern w:val="2"/>
          <w:sz w:val="21"/>
          <w:szCs w:val="21"/>
          <w:lang w:val="en-US" w:eastAsia="zh-CN" w:bidi="ar-SA"/>
        </w:rPr>
      </w:pPr>
      <w:r>
        <w:rPr>
          <w:rFonts w:hint="eastAsia" w:ascii="黑体" w:hAnsi="黑体" w:eastAsia="黑体" w:cs="黑体"/>
          <w:bCs w:val="0"/>
          <w:kern w:val="2"/>
          <w:sz w:val="21"/>
          <w:szCs w:val="21"/>
          <w:lang w:val="en-US" w:eastAsia="zh-CN" w:bidi="ar-SA"/>
        </w:rPr>
        <w:t>图8  物流妥投、总署退单报文结构</w:t>
      </w:r>
    </w:p>
    <w:p>
      <w:pPr>
        <w:widowControl w:val="0"/>
        <w:autoSpaceDE w:val="0"/>
        <w:autoSpaceDN w:val="0"/>
        <w:spacing w:before="160"/>
        <w:rPr>
          <w:rFonts w:hint="eastAsia" w:ascii="黑体" w:hAnsi="黑体" w:eastAsia="黑体" w:cs="黑体"/>
          <w:sz w:val="21"/>
          <w:szCs w:val="21"/>
          <w:lang w:val="en-US" w:eastAsia="zh-CN" w:bidi="ar-SA"/>
        </w:rPr>
      </w:pPr>
      <w:bookmarkStart w:id="204" w:name="_Toc80263660"/>
      <w:r>
        <w:rPr>
          <w:rFonts w:hint="eastAsia" w:ascii="黑体" w:hAnsi="黑体" w:eastAsia="黑体" w:cs="黑体"/>
          <w:sz w:val="21"/>
          <w:szCs w:val="21"/>
          <w:lang w:val="en-US" w:eastAsia="zh-CN" w:bidi="ar-SA"/>
        </w:rPr>
        <w:t>B.8.2  物流妥投、总署退单回执报文根节点</w:t>
      </w:r>
      <w:bookmarkEnd w:id="204"/>
    </w:p>
    <w:p>
      <w:pPr>
        <w:autoSpaceDE w:val="0"/>
        <w:autoSpaceDN w:val="0"/>
        <w:bidi w:val="0"/>
        <w:ind w:firstLine="420" w:firstLineChars="200"/>
        <w:jc w:val="left"/>
        <w:rPr>
          <w:rFonts w:hint="default" w:eastAsia="宋体" w:cs="宋体"/>
          <w:kern w:val="0"/>
          <w:sz w:val="21"/>
          <w:szCs w:val="21"/>
          <w:lang w:val="en-US" w:eastAsia="zh-CN" w:bidi="zh-CN"/>
        </w:rPr>
      </w:pPr>
      <w:r>
        <w:rPr>
          <w:rFonts w:hint="eastAsia" w:cs="宋体"/>
          <w:kern w:val="0"/>
          <w:sz w:val="21"/>
          <w:szCs w:val="21"/>
          <w:lang w:val="en-US" w:bidi="zh-CN"/>
        </w:rPr>
        <w:t>DEN508</w:t>
      </w:r>
      <w:r>
        <w:rPr>
          <w:rFonts w:cs="宋体"/>
          <w:kern w:val="0"/>
          <w:sz w:val="21"/>
          <w:szCs w:val="21"/>
          <w:lang w:val="zh-CN" w:bidi="zh-CN"/>
        </w:rPr>
        <w:t>Message 为</w:t>
      </w:r>
      <w:r>
        <w:rPr>
          <w:rFonts w:hint="eastAsia" w:cs="宋体"/>
          <w:kern w:val="0"/>
          <w:sz w:val="21"/>
          <w:szCs w:val="21"/>
          <w:lang w:val="en-US" w:bidi="zh-CN"/>
        </w:rPr>
        <w:t>退货物流妥投、总署退单</w:t>
      </w:r>
      <w:r>
        <w:rPr>
          <w:rFonts w:cs="宋体"/>
          <w:kern w:val="0"/>
          <w:sz w:val="21"/>
          <w:szCs w:val="21"/>
          <w:lang w:val="zh-CN" w:bidi="zh-CN"/>
        </w:rPr>
        <w:t>回执报文 XML 根节点名称，包括 guid 和 version 两个属性，</w:t>
      </w:r>
      <w:r>
        <w:rPr>
          <w:rFonts w:hint="eastAsia" w:cs="宋体"/>
          <w:kern w:val="0"/>
          <w:sz w:val="21"/>
          <w:szCs w:val="21"/>
          <w:lang w:val="en-US" w:eastAsia="zh-CN" w:bidi="zh-CN"/>
        </w:rPr>
        <w:t>见表24。</w:t>
      </w:r>
    </w:p>
    <w:p>
      <w:pPr>
        <w:keepNext/>
        <w:keepLines/>
        <w:widowControl w:val="0"/>
        <w:numPr>
          <w:ilvl w:val="255"/>
          <w:numId w:val="0"/>
        </w:numPr>
        <w:tabs>
          <w:tab w:val="left" w:pos="0"/>
        </w:tabs>
        <w:autoSpaceDE w:val="0"/>
        <w:autoSpaceDN w:val="0"/>
        <w:spacing w:before="156" w:beforeLines="50" w:after="156" w:afterLines="50"/>
        <w:ind w:left="0" w:firstLine="0"/>
        <w:jc w:val="center"/>
        <w:outlineLvl w:val="2"/>
        <w:rPr>
          <w:rFonts w:hint="eastAsia" w:ascii="黑体" w:hAnsi="黑体" w:eastAsia="黑体" w:cs="黑体"/>
          <w:bCs w:val="0"/>
          <w:kern w:val="2"/>
          <w:sz w:val="21"/>
          <w:szCs w:val="21"/>
          <w:lang w:val="en-US" w:eastAsia="zh-CN" w:bidi="ar-SA"/>
        </w:rPr>
      </w:pPr>
      <w:r>
        <w:rPr>
          <w:rFonts w:hint="eastAsia" w:ascii="黑体" w:hAnsi="黑体" w:eastAsia="黑体" w:cs="黑体"/>
          <w:bCs w:val="0"/>
          <w:kern w:val="2"/>
          <w:sz w:val="21"/>
          <w:szCs w:val="21"/>
          <w:lang w:val="en-US" w:eastAsia="zh-CN" w:bidi="ar-SA"/>
        </w:rPr>
        <w:t>表B.24  物流妥投、总署退单回执报文根节点</w:t>
      </w:r>
    </w:p>
    <w:tbl>
      <w:tblPr>
        <w:tblStyle w:val="17"/>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23"/>
        <w:gridCol w:w="1123"/>
        <w:gridCol w:w="900"/>
        <w:gridCol w:w="677"/>
        <w:gridCol w:w="469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23" w:type="dxa"/>
            <w:tcBorders>
              <w:bottom w:val="single" w:color="000000" w:sz="12" w:space="0"/>
            </w:tcBorders>
            <w:noWrap w:val="0"/>
            <w:vAlign w:val="top"/>
          </w:tcPr>
          <w:p>
            <w:pPr>
              <w:widowControl w:val="0"/>
              <w:autoSpaceDE w:val="0"/>
              <w:autoSpaceDN w:val="0"/>
              <w:spacing w:before="21"/>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名称</w:t>
            </w:r>
          </w:p>
        </w:tc>
        <w:tc>
          <w:tcPr>
            <w:tcW w:w="1123" w:type="dxa"/>
            <w:tcBorders>
              <w:bottom w:val="single" w:color="000000" w:sz="12" w:space="0"/>
            </w:tcBorders>
            <w:noWrap w:val="0"/>
            <w:vAlign w:val="top"/>
          </w:tcPr>
          <w:p>
            <w:pPr>
              <w:widowControl w:val="0"/>
              <w:autoSpaceDE w:val="0"/>
              <w:autoSpaceDN w:val="0"/>
              <w:spacing w:before="21"/>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英文名称</w:t>
            </w:r>
          </w:p>
        </w:tc>
        <w:tc>
          <w:tcPr>
            <w:tcW w:w="900" w:type="dxa"/>
            <w:tcBorders>
              <w:bottom w:val="single" w:color="000000" w:sz="12" w:space="0"/>
            </w:tcBorders>
            <w:noWrap w:val="0"/>
            <w:vAlign w:val="top"/>
          </w:tcPr>
          <w:p>
            <w:pPr>
              <w:widowControl w:val="0"/>
              <w:autoSpaceDE w:val="0"/>
              <w:autoSpaceDN w:val="0"/>
              <w:spacing w:before="21"/>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类型</w:t>
            </w:r>
          </w:p>
        </w:tc>
        <w:tc>
          <w:tcPr>
            <w:tcW w:w="677" w:type="dxa"/>
            <w:tcBorders>
              <w:bottom w:val="single" w:color="000000" w:sz="12" w:space="0"/>
            </w:tcBorders>
            <w:noWrap w:val="0"/>
            <w:vAlign w:val="top"/>
          </w:tcPr>
          <w:p>
            <w:pPr>
              <w:widowControl w:val="0"/>
              <w:autoSpaceDE w:val="0"/>
              <w:autoSpaceDN w:val="0"/>
              <w:spacing w:before="21"/>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必填</w:t>
            </w:r>
          </w:p>
        </w:tc>
        <w:tc>
          <w:tcPr>
            <w:tcW w:w="4699" w:type="dxa"/>
            <w:tcBorders>
              <w:bottom w:val="single" w:color="000000" w:sz="12" w:space="0"/>
            </w:tcBorders>
            <w:noWrap w:val="0"/>
            <w:vAlign w:val="top"/>
          </w:tcPr>
          <w:p>
            <w:pPr>
              <w:widowControl w:val="0"/>
              <w:autoSpaceDE w:val="0"/>
              <w:autoSpaceDN w:val="0"/>
              <w:spacing w:before="21"/>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123" w:type="dxa"/>
            <w:tcBorders>
              <w:top w:val="single" w:color="000000" w:sz="12" w:space="0"/>
              <w:tl2br w:val="nil"/>
              <w:tr2bl w:val="nil"/>
            </w:tcBorders>
            <w:noWrap w:val="0"/>
            <w:vAlign w:val="top"/>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报文编号</w:t>
            </w:r>
          </w:p>
        </w:tc>
        <w:tc>
          <w:tcPr>
            <w:tcW w:w="1123" w:type="dxa"/>
            <w:tcBorders>
              <w:top w:val="single" w:color="000000" w:sz="12" w:space="0"/>
              <w:tl2br w:val="nil"/>
              <w:tr2bl w:val="nil"/>
            </w:tcBorders>
            <w:noWrap w:val="0"/>
            <w:vAlign w:val="top"/>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guid</w:t>
            </w:r>
          </w:p>
        </w:tc>
        <w:tc>
          <w:tcPr>
            <w:tcW w:w="900" w:type="dxa"/>
            <w:tcBorders>
              <w:top w:val="single" w:color="000000" w:sz="12" w:space="0"/>
              <w:tl2br w:val="nil"/>
              <w:tr2bl w:val="nil"/>
            </w:tcBorders>
            <w:noWrap w:val="0"/>
            <w:vAlign w:val="top"/>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an36</w:t>
            </w:r>
          </w:p>
        </w:tc>
        <w:tc>
          <w:tcPr>
            <w:tcW w:w="677" w:type="dxa"/>
            <w:tcBorders>
              <w:top w:val="single" w:color="000000" w:sz="12" w:space="0"/>
              <w:tl2br w:val="nil"/>
              <w:tr2bl w:val="nil"/>
            </w:tcBorders>
            <w:noWrap w:val="0"/>
            <w:vAlign w:val="top"/>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w w:val="99"/>
                <w:sz w:val="18"/>
                <w:szCs w:val="18"/>
                <w:lang w:val="zh-CN" w:eastAsia="zh-CN" w:bidi="zh-CN"/>
              </w:rPr>
              <w:t>是</w:t>
            </w:r>
          </w:p>
        </w:tc>
        <w:tc>
          <w:tcPr>
            <w:tcW w:w="4699" w:type="dxa"/>
            <w:tcBorders>
              <w:top w:val="single" w:color="000000" w:sz="12" w:space="0"/>
              <w:tl2br w:val="nil"/>
              <w:tr2bl w:val="nil"/>
            </w:tcBorders>
            <w:noWrap w:val="0"/>
            <w:vAlign w:val="top"/>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报文的36位系统唯一序号（英文字母大写）。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23" w:type="dxa"/>
            <w:tcBorders>
              <w:tl2br w:val="nil"/>
              <w:tr2bl w:val="nil"/>
            </w:tcBorders>
            <w:noWrap w:val="0"/>
            <w:vAlign w:val="top"/>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版本号</w:t>
            </w:r>
          </w:p>
        </w:tc>
        <w:tc>
          <w:tcPr>
            <w:tcW w:w="1123" w:type="dxa"/>
            <w:tcBorders>
              <w:tl2br w:val="nil"/>
              <w:tr2bl w:val="nil"/>
            </w:tcBorders>
            <w:noWrap w:val="0"/>
            <w:vAlign w:val="top"/>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version</w:t>
            </w:r>
          </w:p>
        </w:tc>
        <w:tc>
          <w:tcPr>
            <w:tcW w:w="900" w:type="dxa"/>
            <w:tcBorders>
              <w:tl2br w:val="nil"/>
              <w:tr2bl w:val="nil"/>
            </w:tcBorders>
            <w:noWrap w:val="0"/>
            <w:vAlign w:val="top"/>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an..10</w:t>
            </w:r>
          </w:p>
        </w:tc>
        <w:tc>
          <w:tcPr>
            <w:tcW w:w="677" w:type="dxa"/>
            <w:tcBorders>
              <w:tl2br w:val="nil"/>
              <w:tr2bl w:val="nil"/>
            </w:tcBorders>
            <w:noWrap w:val="0"/>
            <w:vAlign w:val="top"/>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w w:val="99"/>
                <w:sz w:val="18"/>
                <w:szCs w:val="18"/>
                <w:lang w:val="zh-CN" w:eastAsia="zh-CN" w:bidi="zh-CN"/>
              </w:rPr>
              <w:t>是</w:t>
            </w:r>
          </w:p>
        </w:tc>
        <w:tc>
          <w:tcPr>
            <w:tcW w:w="4699" w:type="dxa"/>
            <w:tcBorders>
              <w:tl2br w:val="nil"/>
              <w:tr2bl w:val="nil"/>
            </w:tcBorders>
            <w:noWrap w:val="0"/>
            <w:vAlign w:val="top"/>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报文版本号，默认为1.0</w:t>
            </w:r>
          </w:p>
        </w:tc>
      </w:tr>
    </w:tbl>
    <w:p>
      <w:pPr>
        <w:widowControl w:val="0"/>
        <w:autoSpaceDE w:val="0"/>
        <w:autoSpaceDN w:val="0"/>
        <w:spacing w:before="160"/>
        <w:rPr>
          <w:rFonts w:hint="eastAsia" w:ascii="黑体" w:hAnsi="黑体" w:eastAsia="黑体" w:cs="黑体"/>
          <w:sz w:val="21"/>
          <w:szCs w:val="21"/>
          <w:lang w:val="en-US" w:eastAsia="zh-CN" w:bidi="ar-SA"/>
        </w:rPr>
      </w:pPr>
      <w:bookmarkStart w:id="205" w:name="_Toc80263661"/>
      <w:r>
        <w:rPr>
          <w:rFonts w:hint="eastAsia" w:ascii="黑体" w:hAnsi="黑体" w:eastAsia="黑体" w:cs="黑体"/>
          <w:sz w:val="21"/>
          <w:szCs w:val="21"/>
          <w:lang w:val="en-US" w:eastAsia="zh-CN" w:bidi="ar-SA"/>
        </w:rPr>
        <w:t>B.8.3  物流妥投、总署退单回执报文描述</w:t>
      </w:r>
      <w:bookmarkEnd w:id="205"/>
    </w:p>
    <w:p>
      <w:pPr>
        <w:widowControl w:val="0"/>
        <w:autoSpaceDE w:val="0"/>
        <w:autoSpaceDN w:val="0"/>
        <w:spacing w:before="3"/>
        <w:ind w:firstLine="420" w:firstLineChars="20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bidi="zh-CN"/>
        </w:rPr>
        <w:t>物流妥投、总署退单回执报文描述见表25。</w:t>
      </w:r>
    </w:p>
    <w:p>
      <w:pPr>
        <w:keepNext/>
        <w:keepLines/>
        <w:widowControl w:val="0"/>
        <w:numPr>
          <w:ilvl w:val="255"/>
          <w:numId w:val="0"/>
        </w:numPr>
        <w:tabs>
          <w:tab w:val="left" w:pos="0"/>
        </w:tabs>
        <w:autoSpaceDE w:val="0"/>
        <w:autoSpaceDN w:val="0"/>
        <w:spacing w:before="156" w:beforeLines="50" w:after="156" w:afterLines="50"/>
        <w:ind w:left="0" w:firstLine="0"/>
        <w:jc w:val="center"/>
        <w:outlineLvl w:val="2"/>
        <w:rPr>
          <w:rFonts w:hint="default" w:ascii="宋体" w:hAnsi="宋体" w:eastAsia="宋体" w:cs="宋体"/>
          <w:kern w:val="0"/>
          <w:sz w:val="21"/>
          <w:szCs w:val="21"/>
          <w:lang w:val="en-US" w:eastAsia="zh-CN" w:bidi="zh-CN"/>
        </w:rPr>
      </w:pPr>
      <w:r>
        <w:rPr>
          <w:rFonts w:hint="eastAsia" w:ascii="黑体" w:hAnsi="黑体" w:eastAsia="黑体" w:cs="黑体"/>
          <w:bCs w:val="0"/>
          <w:kern w:val="2"/>
          <w:sz w:val="21"/>
          <w:szCs w:val="21"/>
          <w:lang w:val="en-US" w:eastAsia="zh-CN" w:bidi="ar-SA"/>
        </w:rPr>
        <w:t>表B.25  物流妥投、总署退单回执报文描述</w:t>
      </w:r>
    </w:p>
    <w:tbl>
      <w:tblPr>
        <w:tblStyle w:val="17"/>
        <w:tblW w:w="852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574"/>
        <w:gridCol w:w="1609"/>
        <w:gridCol w:w="923"/>
        <w:gridCol w:w="636"/>
        <w:gridCol w:w="378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574" w:type="dxa"/>
            <w:tcBorders>
              <w:bottom w:val="single" w:color="000000" w:sz="12" w:space="0"/>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中文名称</w:t>
            </w:r>
          </w:p>
        </w:tc>
        <w:tc>
          <w:tcPr>
            <w:tcW w:w="1609" w:type="dxa"/>
            <w:tcBorders>
              <w:bottom w:val="single" w:color="000000" w:sz="12" w:space="0"/>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英文名称</w:t>
            </w:r>
          </w:p>
        </w:tc>
        <w:tc>
          <w:tcPr>
            <w:tcW w:w="923" w:type="dxa"/>
            <w:tcBorders>
              <w:bottom w:val="single" w:color="000000" w:sz="12" w:space="0"/>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数据格式</w:t>
            </w:r>
          </w:p>
        </w:tc>
        <w:tc>
          <w:tcPr>
            <w:tcW w:w="636" w:type="dxa"/>
            <w:tcBorders>
              <w:bottom w:val="single" w:color="000000" w:sz="12" w:space="0"/>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必填</w:t>
            </w:r>
          </w:p>
        </w:tc>
        <w:tc>
          <w:tcPr>
            <w:tcW w:w="3780" w:type="dxa"/>
            <w:tcBorders>
              <w:bottom w:val="single" w:color="000000" w:sz="12" w:space="0"/>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574" w:type="dxa"/>
            <w:tcBorders>
              <w:top w:val="single" w:color="000000" w:sz="12" w:space="0"/>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系统唯一序号</w:t>
            </w:r>
          </w:p>
        </w:tc>
        <w:tc>
          <w:tcPr>
            <w:tcW w:w="1609" w:type="dxa"/>
            <w:tcBorders>
              <w:top w:val="single" w:color="000000" w:sz="12" w:space="0"/>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guid</w:t>
            </w:r>
          </w:p>
        </w:tc>
        <w:tc>
          <w:tcPr>
            <w:tcW w:w="923" w:type="dxa"/>
            <w:tcBorders>
              <w:top w:val="single" w:color="000000" w:sz="12" w:space="0"/>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C36</w:t>
            </w:r>
          </w:p>
        </w:tc>
        <w:tc>
          <w:tcPr>
            <w:tcW w:w="636" w:type="dxa"/>
            <w:tcBorders>
              <w:top w:val="single" w:color="000000" w:sz="12" w:space="0"/>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是</w:t>
            </w:r>
          </w:p>
        </w:tc>
        <w:tc>
          <w:tcPr>
            <w:tcW w:w="3780" w:type="dxa"/>
            <w:tcBorders>
              <w:top w:val="single" w:color="000000" w:sz="12" w:space="0"/>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系统生成36位唯一序号（英文字母大写）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574"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物流企业代码</w:t>
            </w:r>
          </w:p>
        </w:tc>
        <w:tc>
          <w:tcPr>
            <w:tcW w:w="1609"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hint="eastAsia" w:ascii="宋体" w:hAnsi="宋体" w:eastAsia="宋体" w:cs="宋体"/>
                <w:sz w:val="18"/>
                <w:szCs w:val="18"/>
                <w:lang w:val="en-US" w:eastAsia="zh-CN" w:bidi="zh-CN"/>
              </w:rPr>
              <w:t>logisticsCode</w:t>
            </w:r>
          </w:p>
        </w:tc>
        <w:tc>
          <w:tcPr>
            <w:tcW w:w="923"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C..</w:t>
            </w:r>
            <w:r>
              <w:rPr>
                <w:rFonts w:hint="eastAsia" w:ascii="宋体" w:hAnsi="宋体" w:eastAsia="宋体" w:cs="宋体"/>
                <w:sz w:val="18"/>
                <w:szCs w:val="18"/>
                <w:lang w:val="en-US" w:eastAsia="zh-CN" w:bidi="zh-CN"/>
              </w:rPr>
              <w:t>18</w:t>
            </w:r>
          </w:p>
        </w:tc>
        <w:tc>
          <w:tcPr>
            <w:tcW w:w="636"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是</w:t>
            </w:r>
          </w:p>
        </w:tc>
        <w:tc>
          <w:tcPr>
            <w:tcW w:w="3780"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物流企业在海关的备案编码。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574" w:type="dxa"/>
            <w:tcBorders>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运单号</w:t>
            </w:r>
          </w:p>
        </w:tc>
        <w:tc>
          <w:tcPr>
            <w:tcW w:w="1609" w:type="dxa"/>
            <w:tcBorders>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hint="eastAsia" w:ascii="宋体" w:hAnsi="宋体" w:eastAsia="宋体" w:cs="宋体"/>
                <w:sz w:val="18"/>
                <w:szCs w:val="18"/>
                <w:lang w:val="en-US" w:eastAsia="zh-CN" w:bidi="zh-CN"/>
              </w:rPr>
              <w:t>logisticsNo</w:t>
            </w:r>
          </w:p>
        </w:tc>
        <w:tc>
          <w:tcPr>
            <w:tcW w:w="923" w:type="dxa"/>
            <w:tcBorders>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C..</w:t>
            </w:r>
            <w:r>
              <w:rPr>
                <w:rFonts w:hint="eastAsia" w:ascii="宋体" w:hAnsi="宋体" w:eastAsia="宋体" w:cs="宋体"/>
                <w:sz w:val="18"/>
                <w:szCs w:val="18"/>
                <w:lang w:val="en-US" w:eastAsia="zh-CN" w:bidi="zh-CN"/>
              </w:rPr>
              <w:t>80</w:t>
            </w:r>
          </w:p>
        </w:tc>
        <w:tc>
          <w:tcPr>
            <w:tcW w:w="636" w:type="dxa"/>
            <w:tcBorders>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是</w:t>
            </w:r>
          </w:p>
        </w:tc>
        <w:tc>
          <w:tcPr>
            <w:tcW w:w="3780" w:type="dxa"/>
            <w:tcBorders>
              <w:tl2br w:val="nil"/>
              <w:tr2bl w:val="nil"/>
            </w:tcBorders>
            <w:noWrap w:val="0"/>
            <w:vAlign w:val="center"/>
          </w:tcPr>
          <w:p>
            <w:pPr>
              <w:widowControl w:val="0"/>
              <w:autoSpaceDE w:val="0"/>
              <w:autoSpaceDN w:val="0"/>
              <w:spacing w:before="20"/>
              <w:ind w:left="108"/>
              <w:jc w:val="left"/>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物流企业的运单包裹面单号。同一物流企业的运单编号在6个月内不重复。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574"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回执状态</w:t>
            </w:r>
          </w:p>
        </w:tc>
        <w:tc>
          <w:tcPr>
            <w:tcW w:w="1609"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returnStatus</w:t>
            </w:r>
          </w:p>
        </w:tc>
        <w:tc>
          <w:tcPr>
            <w:tcW w:w="923"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C1..10</w:t>
            </w:r>
          </w:p>
        </w:tc>
        <w:tc>
          <w:tcPr>
            <w:tcW w:w="636"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是</w:t>
            </w:r>
          </w:p>
        </w:tc>
        <w:tc>
          <w:tcPr>
            <w:tcW w:w="3780"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en-US" w:eastAsia="zh-CN" w:bidi="zh-CN"/>
              </w:rPr>
            </w:pPr>
            <w:r>
              <w:rPr>
                <w:rFonts w:ascii="宋体" w:hAnsi="宋体" w:eastAsia="宋体" w:cs="宋体"/>
                <w:sz w:val="18"/>
                <w:szCs w:val="18"/>
                <w:lang w:val="zh-CN" w:eastAsia="zh-CN" w:bidi="zh-CN"/>
              </w:rPr>
              <w:t>操作结果</w:t>
            </w:r>
            <w:r>
              <w:rPr>
                <w:rFonts w:hint="eastAsia" w:ascii="宋体" w:hAnsi="宋体" w:eastAsia="宋体" w:cs="宋体"/>
                <w:sz w:val="18"/>
                <w:szCs w:val="18"/>
                <w:lang w:val="en-US" w:eastAsia="zh-CN" w:bidi="zh-CN"/>
              </w:rPr>
              <w:t>1:入库失败 2:入库成功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574" w:type="dxa"/>
            <w:tcBorders>
              <w:tl2br w:val="nil"/>
              <w:tr2bl w:val="nil"/>
            </w:tcBorders>
            <w:noWrap w:val="0"/>
            <w:vAlign w:val="center"/>
          </w:tcPr>
          <w:p>
            <w:pPr>
              <w:widowControl w:val="0"/>
              <w:autoSpaceDE w:val="0"/>
              <w:autoSpaceDN w:val="0"/>
              <w:spacing w:before="21"/>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回执时间</w:t>
            </w:r>
          </w:p>
        </w:tc>
        <w:tc>
          <w:tcPr>
            <w:tcW w:w="1609" w:type="dxa"/>
            <w:tcBorders>
              <w:tl2br w:val="nil"/>
              <w:tr2bl w:val="nil"/>
            </w:tcBorders>
            <w:noWrap w:val="0"/>
            <w:vAlign w:val="center"/>
          </w:tcPr>
          <w:p>
            <w:pPr>
              <w:widowControl w:val="0"/>
              <w:autoSpaceDE w:val="0"/>
              <w:autoSpaceDN w:val="0"/>
              <w:spacing w:before="21"/>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returnTime</w:t>
            </w:r>
          </w:p>
        </w:tc>
        <w:tc>
          <w:tcPr>
            <w:tcW w:w="923" w:type="dxa"/>
            <w:tcBorders>
              <w:tl2br w:val="nil"/>
              <w:tr2bl w:val="nil"/>
            </w:tcBorders>
            <w:noWrap w:val="0"/>
            <w:vAlign w:val="center"/>
          </w:tcPr>
          <w:p>
            <w:pPr>
              <w:widowControl w:val="0"/>
              <w:autoSpaceDE w:val="0"/>
              <w:autoSpaceDN w:val="0"/>
              <w:spacing w:before="21"/>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C17</w:t>
            </w:r>
          </w:p>
        </w:tc>
        <w:tc>
          <w:tcPr>
            <w:tcW w:w="636" w:type="dxa"/>
            <w:tcBorders>
              <w:tl2br w:val="nil"/>
              <w:tr2bl w:val="nil"/>
            </w:tcBorders>
            <w:noWrap w:val="0"/>
            <w:vAlign w:val="center"/>
          </w:tcPr>
          <w:p>
            <w:pPr>
              <w:widowControl w:val="0"/>
              <w:autoSpaceDE w:val="0"/>
              <w:autoSpaceDN w:val="0"/>
              <w:spacing w:before="21"/>
              <w:ind w:left="108"/>
              <w:jc w:val="center"/>
              <w:rPr>
                <w:rFonts w:ascii="宋体" w:hAnsi="宋体" w:eastAsia="宋体" w:cs="宋体"/>
                <w:sz w:val="18"/>
                <w:szCs w:val="18"/>
                <w:lang w:val="zh-CN" w:eastAsia="zh-CN" w:bidi="zh-CN"/>
              </w:rPr>
            </w:pPr>
            <w:r>
              <w:rPr>
                <w:rFonts w:ascii="宋体" w:hAnsi="宋体" w:eastAsia="宋体" w:cs="宋体"/>
                <w:w w:val="99"/>
                <w:sz w:val="18"/>
                <w:szCs w:val="18"/>
                <w:lang w:val="zh-CN" w:eastAsia="zh-CN" w:bidi="zh-CN"/>
              </w:rPr>
              <w:t>是</w:t>
            </w:r>
          </w:p>
        </w:tc>
        <w:tc>
          <w:tcPr>
            <w:tcW w:w="3780" w:type="dxa"/>
            <w:tcBorders>
              <w:tl2br w:val="nil"/>
              <w:tr2bl w:val="nil"/>
            </w:tcBorders>
            <w:noWrap w:val="0"/>
            <w:vAlign w:val="center"/>
          </w:tcPr>
          <w:p>
            <w:pPr>
              <w:widowControl w:val="0"/>
              <w:autoSpaceDE w:val="0"/>
              <w:autoSpaceDN w:val="0"/>
              <w:spacing w:before="21"/>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操作时间(格式：yyyyMMddHHmmssfff)</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574"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回执信息</w:t>
            </w:r>
          </w:p>
        </w:tc>
        <w:tc>
          <w:tcPr>
            <w:tcW w:w="1609" w:type="dxa"/>
            <w:tcBorders>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returnInfo</w:t>
            </w:r>
          </w:p>
        </w:tc>
        <w:tc>
          <w:tcPr>
            <w:tcW w:w="923" w:type="dxa"/>
            <w:tcBorders>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C..1000</w:t>
            </w:r>
          </w:p>
        </w:tc>
        <w:tc>
          <w:tcPr>
            <w:tcW w:w="636" w:type="dxa"/>
            <w:tcBorders>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w w:val="99"/>
                <w:sz w:val="18"/>
                <w:szCs w:val="18"/>
                <w:lang w:val="zh-CN" w:eastAsia="zh-CN" w:bidi="zh-CN"/>
              </w:rPr>
              <w:t>是</w:t>
            </w:r>
          </w:p>
        </w:tc>
        <w:tc>
          <w:tcPr>
            <w:tcW w:w="3780" w:type="dxa"/>
            <w:tcBorders>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备注（如:</w:t>
            </w:r>
            <w:r>
              <w:rPr>
                <w:rFonts w:hint="eastAsia" w:ascii="宋体" w:hAnsi="宋体" w:eastAsia="宋体" w:cs="宋体"/>
                <w:sz w:val="18"/>
                <w:szCs w:val="18"/>
                <w:lang w:val="en-US" w:eastAsia="zh-CN" w:bidi="zh-CN"/>
              </w:rPr>
              <w:t>失败</w:t>
            </w:r>
            <w:r>
              <w:rPr>
                <w:rFonts w:ascii="宋体" w:hAnsi="宋体" w:eastAsia="宋体" w:cs="宋体"/>
                <w:sz w:val="18"/>
                <w:szCs w:val="18"/>
                <w:lang w:val="zh-CN" w:eastAsia="zh-CN" w:bidi="zh-CN"/>
              </w:rPr>
              <w:t>原因）</w:t>
            </w:r>
          </w:p>
        </w:tc>
      </w:tr>
    </w:tbl>
    <w:p>
      <w:pPr>
        <w:pStyle w:val="25"/>
        <w:numPr>
          <w:ilvl w:val="-1"/>
          <w:numId w:val="0"/>
        </w:numPr>
        <w:tabs>
          <w:tab w:val="left" w:pos="0"/>
        </w:tabs>
        <w:ind w:left="0" w:leftChars="0" w:firstLine="0" w:firstLineChars="0"/>
        <w:jc w:val="both"/>
        <w:rPr>
          <w:rFonts w:hint="default"/>
          <w:lang w:val="en-US" w:eastAsia="zh-CN"/>
        </w:rPr>
      </w:pPr>
    </w:p>
    <w:p>
      <w:pPr>
        <w:pStyle w:val="25"/>
        <w:numPr>
          <w:ilvl w:val="-1"/>
          <w:numId w:val="0"/>
        </w:numPr>
        <w:tabs>
          <w:tab w:val="left" w:pos="0"/>
        </w:tabs>
        <w:ind w:left="0" w:leftChars="0" w:firstLine="0" w:firstLineChars="0"/>
        <w:jc w:val="both"/>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9"/>
        <w:spacing w:before="78" w:after="156"/>
      </w:pPr>
      <w:bookmarkStart w:id="206" w:name="_Toc17779"/>
    </w:p>
    <w:p>
      <w:pPr>
        <w:pStyle w:val="59"/>
        <w:spacing w:before="78" w:after="156"/>
      </w:pPr>
      <w:r>
        <w:rPr>
          <w:rFonts w:hint="eastAsia"/>
        </w:rPr>
        <w:t>（</w:t>
      </w:r>
      <w:r>
        <w:rPr>
          <w:rFonts w:hint="eastAsia"/>
          <w:lang w:val="en-US" w:eastAsia="zh-CN"/>
        </w:rPr>
        <w:t>资料</w:t>
      </w:r>
      <w:r>
        <w:rPr>
          <w:rFonts w:hint="eastAsia"/>
        </w:rPr>
        <w:t>性）</w:t>
      </w:r>
    </w:p>
    <w:p>
      <w:pPr>
        <w:pStyle w:val="59"/>
        <w:spacing w:before="78" w:after="156"/>
      </w:pPr>
      <w:r>
        <w:rPr>
          <w:rFonts w:hint="eastAsia"/>
          <w:lang w:val="en-US" w:eastAsia="zh-CN"/>
        </w:rPr>
        <w:t>业务字典</w:t>
      </w:r>
      <w:bookmarkEnd w:id="206"/>
    </w:p>
    <w:p>
      <w:pPr>
        <w:pStyle w:val="24"/>
        <w:keepNext w:val="0"/>
        <w:keepLines w:val="0"/>
        <w:pageBreakBefore w:val="0"/>
        <w:widowControl w:val="0"/>
        <w:numPr>
          <w:ilvl w:val="0"/>
          <w:numId w:val="8"/>
        </w:numPr>
        <w:kinsoku/>
        <w:wordWrap/>
        <w:overflowPunct/>
        <w:topLinePunct w:val="0"/>
        <w:autoSpaceDE/>
        <w:autoSpaceDN/>
        <w:bidi w:val="0"/>
        <w:adjustRightInd/>
        <w:snapToGrid/>
        <w:spacing w:before="0" w:beforeLines="0" w:after="0" w:afterLines="0"/>
        <w:ind w:left="425" w:hanging="425"/>
        <w:textAlignment w:val="auto"/>
        <w:rPr>
          <w:rFonts w:hint="eastAsia" w:ascii="宋体" w:hAnsi="宋体" w:eastAsia="宋体" w:cs="宋体"/>
        </w:rPr>
      </w:pPr>
      <w:bookmarkStart w:id="207" w:name="_Toc22645"/>
      <w:bookmarkStart w:id="208" w:name="_Toc17410"/>
      <w:r>
        <w:rPr>
          <w:rFonts w:hint="eastAsia" w:ascii="宋体" w:hAnsi="宋体" w:eastAsia="宋体" w:cs="宋体"/>
        </w:rPr>
        <w:t>基础参数部分见海关基础参数。</w:t>
      </w:r>
      <w:bookmarkEnd w:id="207"/>
      <w:bookmarkEnd w:id="208"/>
    </w:p>
    <w:p>
      <w:pPr>
        <w:pStyle w:val="24"/>
        <w:keepNext w:val="0"/>
        <w:keepLines w:val="0"/>
        <w:pageBreakBefore w:val="0"/>
        <w:widowControl w:val="0"/>
        <w:numPr>
          <w:ilvl w:val="0"/>
          <w:numId w:val="8"/>
        </w:numPr>
        <w:kinsoku/>
        <w:wordWrap/>
        <w:overflowPunct/>
        <w:topLinePunct w:val="0"/>
        <w:autoSpaceDE/>
        <w:autoSpaceDN/>
        <w:bidi w:val="0"/>
        <w:adjustRightInd/>
        <w:snapToGrid/>
        <w:spacing w:before="0" w:beforeLines="0" w:after="0" w:afterLines="0"/>
        <w:ind w:left="425" w:hanging="425"/>
        <w:textAlignment w:val="auto"/>
        <w:rPr>
          <w:rFonts w:hint="eastAsia" w:ascii="宋体" w:hAnsi="宋体" w:eastAsia="宋体" w:cs="宋体"/>
        </w:rPr>
      </w:pPr>
      <w:bookmarkStart w:id="209" w:name="_Toc5178"/>
      <w:bookmarkStart w:id="210" w:name="_Toc32187"/>
      <w:r>
        <w:rPr>
          <w:rFonts w:hint="eastAsia" w:ascii="宋体" w:hAnsi="宋体" w:eastAsia="宋体" w:cs="宋体"/>
        </w:rPr>
        <w:t>退货订单业务数据字典</w:t>
      </w:r>
      <w:r>
        <w:rPr>
          <w:rFonts w:hint="eastAsia" w:ascii="宋体" w:hAnsi="宋体" w:eastAsia="宋体" w:cs="宋体"/>
          <w:lang w:val="en-US" w:eastAsia="zh-CN"/>
        </w:rPr>
        <w:t>见表C.1</w:t>
      </w:r>
      <w:r>
        <w:rPr>
          <w:rFonts w:hint="eastAsia" w:ascii="宋体" w:hAnsi="宋体" w:eastAsia="宋体" w:cs="宋体"/>
        </w:rPr>
        <w:t>。</w:t>
      </w:r>
      <w:bookmarkEnd w:id="209"/>
      <w:bookmarkEnd w:id="210"/>
    </w:p>
    <w:p>
      <w:pPr>
        <w:pStyle w:val="5"/>
        <w:numPr>
          <w:ilvl w:val="255"/>
          <w:numId w:val="0"/>
        </w:numPr>
        <w:tabs>
          <w:tab w:val="left" w:pos="0"/>
        </w:tabs>
        <w:spacing w:before="156" w:after="156"/>
        <w:rPr>
          <w:rFonts w:ascii="黑体" w:hAnsi="黑体" w:cs="黑体"/>
          <w:bCs w:val="0"/>
          <w:szCs w:val="21"/>
        </w:rPr>
      </w:pPr>
      <w:r>
        <w:rPr>
          <w:rFonts w:hint="eastAsia" w:ascii="黑体" w:hAnsi="黑体" w:cs="黑体"/>
          <w:bCs w:val="0"/>
          <w:szCs w:val="21"/>
        </w:rPr>
        <w:t>表C.1  退货订单业务数据字典</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29"/>
        <w:gridCol w:w="40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bottom w:val="single" w:color="auto" w:sz="12" w:space="0"/>
            </w:tcBorders>
            <w:noWrap/>
            <w:vAlign w:val="center"/>
          </w:tcPr>
          <w:p>
            <w:pPr>
              <w:widowControl/>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代码</w:t>
            </w:r>
          </w:p>
        </w:tc>
        <w:tc>
          <w:tcPr>
            <w:tcW w:w="4092" w:type="dxa"/>
            <w:tcBorders>
              <w:bottom w:val="single" w:color="auto" w:sz="12" w:space="0"/>
            </w:tcBorders>
            <w:noWrap/>
            <w:vAlign w:val="center"/>
          </w:tcPr>
          <w:p>
            <w:pPr>
              <w:widowControl/>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op w:val="single" w:color="auto" w:sz="12" w:space="0"/>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customs_code</w:t>
            </w:r>
          </w:p>
        </w:tc>
        <w:tc>
          <w:tcPr>
            <w:tcW w:w="4092" w:type="dxa"/>
            <w:tcBorders>
              <w:top w:val="single" w:color="auto" w:sz="12" w:space="0"/>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申报地海关代码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bill_no</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提运单号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order_no</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订单编号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ebp_name</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电商平台名称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ebp_code</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电商平台编码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ebc_name</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电商企业名称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ebc_code</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电商企业编号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logistics_no</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退货运单号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logistics_name</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退货物流企业名称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logistics_code</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退货物流企业编码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decl_logistics_no</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出口物流单号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decl_logistics_name</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出口物流企业名称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decl_logistics_code</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出口物流企业编码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departure_port_code</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出口离境口岸代码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clearance_time</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出口结关时间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trade_country</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出口运抵国别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gross_weight</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毛量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refund_type</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退货类型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reason_code</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退货原因代码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declare_time</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申报时间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release_time</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放行时间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refund_status</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订单状态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arrival_status</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妥投状态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cop_code</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传输企业代码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cop_name</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传输企业名称</w:t>
            </w:r>
          </w:p>
        </w:tc>
      </w:tr>
    </w:tbl>
    <w:p>
      <w:pPr>
        <w:pStyle w:val="24"/>
        <w:keepNext w:val="0"/>
        <w:keepLines w:val="0"/>
        <w:pageBreakBefore w:val="0"/>
        <w:widowControl w:val="0"/>
        <w:numPr>
          <w:ilvl w:val="0"/>
          <w:numId w:val="8"/>
        </w:numPr>
        <w:kinsoku/>
        <w:wordWrap/>
        <w:overflowPunct/>
        <w:topLinePunct w:val="0"/>
        <w:autoSpaceDE/>
        <w:autoSpaceDN/>
        <w:bidi w:val="0"/>
        <w:adjustRightInd/>
        <w:snapToGrid/>
        <w:spacing w:before="0" w:beforeLines="0" w:after="0" w:afterLines="0"/>
        <w:ind w:left="425" w:hanging="425"/>
        <w:textAlignment w:val="auto"/>
        <w:rPr>
          <w:rFonts w:hint="eastAsia" w:ascii="宋体" w:hAnsi="宋体" w:eastAsia="宋体" w:cs="宋体"/>
        </w:rPr>
      </w:pPr>
      <w:bookmarkStart w:id="211" w:name="_Toc20487"/>
      <w:bookmarkStart w:id="212" w:name="_Toc2232"/>
      <w:r>
        <w:rPr>
          <w:rFonts w:hint="eastAsia" w:ascii="宋体" w:hAnsi="宋体" w:eastAsia="宋体" w:cs="宋体"/>
        </w:rPr>
        <w:t>退货物流单数字业务字典</w:t>
      </w:r>
      <w:r>
        <w:rPr>
          <w:rFonts w:hint="eastAsia" w:ascii="宋体" w:hAnsi="宋体" w:eastAsia="宋体" w:cs="宋体"/>
          <w:lang w:val="en-US" w:eastAsia="zh-CN"/>
        </w:rPr>
        <w:t>见表C.3。</w:t>
      </w:r>
      <w:bookmarkEnd w:id="211"/>
      <w:bookmarkEnd w:id="212"/>
    </w:p>
    <w:p>
      <w:pPr>
        <w:pStyle w:val="5"/>
        <w:numPr>
          <w:ilvl w:val="255"/>
          <w:numId w:val="0"/>
        </w:numPr>
        <w:tabs>
          <w:tab w:val="left" w:pos="0"/>
        </w:tabs>
        <w:spacing w:before="156" w:after="156"/>
        <w:rPr>
          <w:rFonts w:hint="eastAsia" w:ascii="黑体" w:hAnsi="黑体" w:cs="黑体"/>
          <w:bCs w:val="0"/>
          <w:szCs w:val="21"/>
        </w:rPr>
      </w:pPr>
      <w:r>
        <w:rPr>
          <w:rFonts w:hint="eastAsia" w:ascii="黑体" w:hAnsi="黑体" w:cs="黑体"/>
          <w:bCs w:val="0"/>
          <w:szCs w:val="21"/>
        </w:rPr>
        <w:t>C</w:t>
      </w:r>
      <w:r>
        <w:rPr>
          <w:rFonts w:hint="eastAsia" w:ascii="黑体" w:hAnsi="黑体" w:cs="黑体"/>
          <w:bCs w:val="0"/>
          <w:szCs w:val="21"/>
          <w:lang w:val="en-US" w:eastAsia="zh-CN"/>
        </w:rPr>
        <w:t xml:space="preserve">.3  </w:t>
      </w:r>
      <w:r>
        <w:rPr>
          <w:rFonts w:hint="eastAsia" w:ascii="黑体" w:hAnsi="黑体" w:cs="黑体"/>
          <w:bCs w:val="0"/>
          <w:szCs w:val="21"/>
        </w:rPr>
        <w:t>退货物流单数字业务字典</w:t>
      </w:r>
    </w:p>
    <w:tbl>
      <w:tblPr>
        <w:tblStyle w:val="17"/>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18"/>
        <w:gridCol w:w="41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bottom w:val="single" w:color="auto" w:sz="12" w:space="0"/>
            </w:tcBorders>
            <w:noWrap/>
            <w:vAlign w:val="center"/>
          </w:tcPr>
          <w:p>
            <w:pPr>
              <w:widowControl/>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代码</w:t>
            </w:r>
          </w:p>
        </w:tc>
        <w:tc>
          <w:tcPr>
            <w:tcW w:w="4104" w:type="dxa"/>
            <w:tcBorders>
              <w:bottom w:val="single" w:color="auto" w:sz="12" w:space="0"/>
            </w:tcBorders>
            <w:noWrap/>
            <w:vAlign w:val="center"/>
          </w:tcPr>
          <w:p>
            <w:pPr>
              <w:widowControl/>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decl_logistics_no</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出口运单号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decl_logistics_name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出口物流申报企业名称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decl_logistics_code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出口物流申报企业编码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departure_port_code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出口离境口岸代码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departure_time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出口离境时间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trade_city_time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出口运抵境外城市时间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overseas_clearance_city_time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运抵境外清关城市时间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overseas_clearance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境外清关是否成功(yes , no)</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overseas_delivery_location</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境外配送分拨仓地址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overseas_clearance_city</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境外清关城市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overseas_delivery_location_time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运抵境外配送分拨仓时间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overseas_delivery</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境外配送是否成功(yes, no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logistics_no</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退货运单号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gross_weight</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毛重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logistics_name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退货物流企业名称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logistics_code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退货物流企业代码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overseas_location</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境外退货分拨仓名称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overseas_location_time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运抵境外退货分拨仓时间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bill_no</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退货提运单号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desp_port_code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退货境外启运地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enty_loct_name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进境监管场所名称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desp_port_time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退货境外启运时间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enty_time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入境时间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enty_port_code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入境口岸代码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loct_port_code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监管口岸代码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loct_port_time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退货运抵监管口岸时间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status</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业务状态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clearance_time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出口结关时间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trade_country</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出口运抵国别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trade_city</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出口运抵境外城市名称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cop_code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传输企业代码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cop_name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传输企业名称</w:t>
            </w:r>
          </w:p>
        </w:tc>
      </w:tr>
    </w:tbl>
    <w:p>
      <w:pPr>
        <w:pStyle w:val="25"/>
        <w:numPr>
          <w:ilvl w:val="-1"/>
          <w:numId w:val="0"/>
        </w:numPr>
        <w:tabs>
          <w:tab w:val="left" w:pos="0"/>
        </w:tabs>
        <w:ind w:left="0" w:leftChars="0" w:firstLine="0" w:firstLineChars="0"/>
        <w:jc w:val="center"/>
        <w:rPr>
          <w:rFonts w:hint="default"/>
          <w:lang w:val="en-US" w:eastAsia="zh-CN"/>
        </w:rPr>
      </w:pPr>
      <w:bookmarkStart w:id="213" w:name="BookMark8"/>
      <w:r>
        <w:drawing>
          <wp:inline distT="0" distB="0" distL="0" distR="0">
            <wp:extent cx="1485900" cy="317500"/>
            <wp:effectExtent l="0" t="0" r="0" b="6350"/>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31">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213"/>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仿宋">
    <w:panose1 w:val="02010609060101010101"/>
    <w:charset w:val="86"/>
    <w:family w:val="auto"/>
    <w:pitch w:val="default"/>
    <w:sig w:usb0="800002BF" w:usb1="38CF7CFA" w:usb2="00000016" w:usb3="00000000" w:csb0="00040001" w:csb1="00000000"/>
  </w:font>
  <w:font w:name="Calibri Light">
    <w:altName w:val="Segoe Print"/>
    <w:panose1 w:val="020F0302020204030204"/>
    <w:charset w:val="00"/>
    <w:family w:val="auto"/>
    <w:pitch w:val="default"/>
    <w:sig w:usb0="00000000" w:usb1="00000000" w:usb2="00000009" w:usb3="00000000" w:csb0="200001FF" w:csb1="00000000"/>
  </w:font>
  <w:font w:name="Segoe Print">
    <w:panose1 w:val="02000600000000000000"/>
    <w:charset w:val="00"/>
    <w:family w:val="auto"/>
    <w:pitch w:val="default"/>
    <w:sig w:usb0="0000028F" w:usb1="00000000" w:usb2="00000000" w:usb3="00000000" w:csb0="2000009F" w:csb1="47010000"/>
  </w:font>
  <w:font w:name="宋体_x0003_...销.">
    <w:altName w:val="宋体"/>
    <w:panose1 w:val="00000000000000000000"/>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fldChar w:fldCharType="begin"/>
                          </w:r>
                          <w:r>
                            <w:instrText xml:space="preserve"> PAGE  \* MERGEFORMAT </w:instrText>
                          </w:r>
                          <w:r>
                            <w:fldChar w:fldCharType="separate"/>
                          </w:r>
                          <w:r>
                            <w:t>III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III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II</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II</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wordWrap w:v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wordWrap w:val="0"/>
    </w:pPr>
    <w:r>
      <w:rPr>
        <w:rFonts w:hint="eastAsia"/>
      </w:rPr>
      <w:t>DB33/TXXXX</w:t>
    </w:r>
    <w:r>
      <w:rPr>
        <w:rFonts w:hint="eastAsia"/>
        <w:lang w:eastAsia="zh-CN"/>
      </w:rPr>
      <w:t>～</w:t>
    </w:r>
    <w:r>
      <w:rPr>
        <w:rFonts w:hint="eastAsia"/>
      </w:rPr>
      <w:t>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wordWrap w:val="0"/>
      <w:rPr>
        <w:rFonts w:hint="default" w:eastAsia="黑体"/>
        <w:lang w:val="en-US" w:eastAsia="zh-CN"/>
      </w:rPr>
    </w:pPr>
    <w:r>
      <w:rPr>
        <w:rFonts w:hint="eastAsia"/>
      </w:rPr>
      <w:t>DB33/T</w:t>
    </w:r>
    <w:r>
      <w:rPr>
        <w:rFonts w:hint="eastAsia"/>
        <w:lang w:val="en-US" w:eastAsia="zh-CN"/>
      </w:rPr>
      <w:t xml:space="preserve"> </w:t>
    </w:r>
    <w:r>
      <w:rPr>
        <w:rFonts w:hint="eastAsia"/>
      </w:rPr>
      <w:t>XXXX</w:t>
    </w:r>
    <w:r>
      <w:rPr>
        <w:rFonts w:hint="eastAsia"/>
        <w:lang w:val="en-US" w:eastAsia="zh-CN"/>
      </w:rPr>
      <w:t>-</w:t>
    </w:r>
    <w:r>
      <w:rPr>
        <w:rFonts w:hint="eastAsia"/>
      </w:rPr>
      <w:t>20</w:t>
    </w:r>
    <w:r>
      <w:rPr>
        <w:rFonts w:hint="eastAsia"/>
        <w:lang w:val="en-US" w:eastAsia="zh-CN"/>
      </w:rPr>
      <w:t>XX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wordWrap w:val="0"/>
      <w:jc w:val="both"/>
      <w:rPr>
        <w:rFonts w:hint="default" w:eastAsia="黑体"/>
        <w:lang w:val="en-US" w:eastAsia="zh-CN"/>
      </w:rPr>
    </w:pPr>
    <w:r>
      <w:rPr>
        <w:rFonts w:hint="eastAsia"/>
      </w:rPr>
      <w:t>DB33/T</w:t>
    </w:r>
    <w:r>
      <w:rPr>
        <w:rFonts w:hint="eastAsia"/>
        <w:lang w:val="en-US" w:eastAsia="zh-CN"/>
      </w:rPr>
      <w:t xml:space="preserve"> </w:t>
    </w:r>
    <w:r>
      <w:rPr>
        <w:rFonts w:hint="eastAsia"/>
      </w:rPr>
      <w:t>XXXX</w:t>
    </w:r>
    <w:r>
      <w:rPr>
        <w:rFonts w:hint="eastAsia"/>
        <w:lang w:val="en-US" w:eastAsia="zh-CN"/>
      </w:rPr>
      <w:t>-</w:t>
    </w:r>
    <w:r>
      <w:rPr>
        <w:rFonts w:hint="eastAsia"/>
      </w:rPr>
      <w:t>20</w:t>
    </w:r>
    <w:r>
      <w:rPr>
        <w:rFonts w:hint="eastAsia"/>
        <w:lang w:val="en-US" w:eastAsia="zh-CN"/>
      </w:rPr>
      <w:t>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wordWrap w:val="0"/>
      <w:rPr>
        <w:rFonts w:hint="default" w:eastAsia="黑体"/>
        <w:lang w:val="en-US" w:eastAsia="zh-CN"/>
      </w:rPr>
    </w:pPr>
    <w:r>
      <w:rPr>
        <w:rFonts w:hint="eastAsia"/>
      </w:rPr>
      <w:t>DB33/T</w:t>
    </w:r>
    <w:r>
      <w:rPr>
        <w:rFonts w:hint="eastAsia"/>
        <w:lang w:val="en-US" w:eastAsia="zh-CN"/>
      </w:rPr>
      <w:t xml:space="preserve"> </w:t>
    </w:r>
    <w:r>
      <w:rPr>
        <w:rFonts w:hint="eastAsia"/>
      </w:rPr>
      <w:t>XXXX</w:t>
    </w:r>
    <w:r>
      <w:rPr>
        <w:rFonts w:hint="eastAsia"/>
        <w:lang w:val="en-US" w:eastAsia="zh-CN"/>
      </w:rPr>
      <w:t>-</w:t>
    </w:r>
    <w:r>
      <w:rPr>
        <w:rFonts w:hint="eastAsia"/>
      </w:rPr>
      <w:t>20</w:t>
    </w:r>
    <w:r>
      <w:rPr>
        <w:rFonts w:hint="eastAsia"/>
        <w:lang w:val="en-US" w:eastAsia="zh-CN"/>
      </w:rPr>
      <w:t>XX</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default" w:ascii="黑体" w:hAnsi="黑体" w:eastAsia="黑体" w:cs="黑体"/>
        <w:sz w:val="21"/>
        <w:szCs w:val="21"/>
        <w:lang w:val="en-US" w:eastAsia="zh-CN"/>
      </w:rPr>
    </w:pPr>
    <w:r>
      <w:rPr>
        <w:rFonts w:hint="eastAsia" w:ascii="黑体" w:hAnsi="黑体" w:eastAsia="黑体" w:cs="黑体"/>
        <w:sz w:val="21"/>
        <w:szCs w:val="21"/>
      </w:rPr>
      <w:t>DB33/T</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XXXX</w:t>
    </w:r>
    <w:r>
      <w:rPr>
        <w:rFonts w:hint="eastAsia" w:ascii="黑体" w:hAnsi="黑体" w:eastAsia="黑体" w:cs="黑体"/>
        <w:sz w:val="21"/>
        <w:szCs w:val="21"/>
        <w:lang w:val="en-US" w:eastAsia="zh-CN"/>
      </w:rPr>
      <w:t>-</w:t>
    </w:r>
    <w:r>
      <w:rPr>
        <w:rFonts w:hint="eastAsia" w:ascii="黑体" w:hAnsi="黑体" w:eastAsia="黑体" w:cs="黑体"/>
        <w:sz w:val="21"/>
        <w:szCs w:val="21"/>
      </w:rPr>
      <w:t>20</w:t>
    </w:r>
    <w:r>
      <w:rPr>
        <w:rFonts w:hint="eastAsia" w:ascii="黑体" w:hAnsi="黑体" w:eastAsia="黑体" w:cs="黑体"/>
        <w:sz w:val="21"/>
        <w:szCs w:val="21"/>
        <w:lang w:val="en-US" w:eastAsia="zh-CN"/>
      </w:rPr>
      <w:t>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1DE3F1"/>
    <w:multiLevelType w:val="multilevel"/>
    <w:tmpl w:val="AE1DE3F1"/>
    <w:lvl w:ilvl="0" w:tentative="0">
      <w:start w:val="9"/>
      <w:numFmt w:val="decimal"/>
      <w:lvlText w:val="A.%1"/>
      <w:lvlJc w:val="left"/>
      <w:pPr>
        <w:ind w:left="432" w:hanging="432"/>
      </w:pPr>
      <w:rPr>
        <w:rFonts w:hint="default" w:ascii="宋体" w:hAnsi="宋体" w:eastAsia="宋体" w:cs="宋体"/>
        <w:sz w:val="24"/>
        <w:szCs w:val="21"/>
      </w:rPr>
    </w:lvl>
    <w:lvl w:ilvl="1" w:tentative="0">
      <w:start w:val="1"/>
      <w:numFmt w:val="decimal"/>
      <w:lvlText w:val="%1.%2"/>
      <w:lvlJc w:val="left"/>
      <w:pPr>
        <w:ind w:left="3694" w:hanging="576"/>
      </w:pPr>
    </w:lvl>
    <w:lvl w:ilvl="2" w:tentative="0">
      <w:start w:val="1"/>
      <w:numFmt w:val="none"/>
      <w:pStyle w:val="5"/>
      <w:lvlText w:val="A.%1"/>
      <w:lvlJc w:val="left"/>
      <w:pPr>
        <w:ind w:left="720" w:hanging="720"/>
      </w:pPr>
      <w:rPr>
        <w:rFonts w:hint="default" w:ascii="宋体" w:hAnsi="宋体" w:eastAsia="宋体" w:cs="宋体"/>
      </w:rPr>
    </w:lvl>
    <w:lvl w:ilvl="3" w:tentative="0">
      <w:start w:val="1"/>
      <w:numFmt w:val="decimal"/>
      <w:lvlText w:val="%1.%2.%3.%4"/>
      <w:lvlJc w:val="left"/>
      <w:pPr>
        <w:ind w:left="864" w:hanging="864"/>
      </w:pPr>
    </w:lvl>
    <w:lvl w:ilvl="4" w:tentative="0">
      <w:start w:val="1"/>
      <w:numFmt w:val="decimal"/>
      <w:lvlText w:val="%1.%2.%3.%4.%5"/>
      <w:lvlJc w:val="left"/>
      <w:pPr>
        <w:ind w:left="1008" w:hanging="1008"/>
      </w:pPr>
      <w:rPr>
        <w:rFonts w:hint="default" w:ascii="宋体" w:hAnsi="宋体" w:eastAsia="宋体" w:cs="宋体"/>
      </w:rPr>
    </w:lvl>
    <w:lvl w:ilvl="5" w:tentative="0">
      <w:start w:val="1"/>
      <w:numFmt w:val="decimal"/>
      <w:lvlText w:val="%1.%2.%3.%4.%5.%6"/>
      <w:lvlJc w:val="left"/>
      <w:pPr>
        <w:ind w:left="1152" w:hanging="1152"/>
      </w:pPr>
      <w:rPr>
        <w:rFonts w:hint="default" w:ascii="宋体" w:hAnsi="宋体" w:eastAsia="宋体" w:cs="宋体"/>
      </w:rPr>
    </w:lvl>
    <w:lvl w:ilvl="6" w:tentative="0">
      <w:start w:val="1"/>
      <w:numFmt w:val="decimal"/>
      <w:lvlText w:val="%1.%2.%3.%4.%5.%6.%7"/>
      <w:lvlJc w:val="left"/>
      <w:pPr>
        <w:ind w:left="1296" w:hanging="1296"/>
      </w:pPr>
    </w:lvl>
    <w:lvl w:ilvl="7" w:tentative="0">
      <w:start w:val="1"/>
      <w:numFmt w:val="decimal"/>
      <w:lvlText w:val="%1.%2.%3.%4.%5.%6.%7.%8"/>
      <w:lvlJc w:val="left"/>
      <w:pPr>
        <w:ind w:left="1440" w:hanging="1440"/>
      </w:pPr>
      <w:rPr>
        <w:rFonts w:hint="default" w:ascii="宋体" w:hAnsi="宋体" w:eastAsia="宋体" w:cs="宋体"/>
      </w:rPr>
    </w:lvl>
    <w:lvl w:ilvl="8" w:tentative="0">
      <w:start w:val="1"/>
      <w:numFmt w:val="decimal"/>
      <w:lvlText w:val="%1.%2.%3.%4.%5.%6.%7.%8.%9"/>
      <w:lvlJc w:val="left"/>
      <w:pPr>
        <w:ind w:left="1584" w:hanging="1584"/>
      </w:pPr>
      <w:rPr>
        <w:rFonts w:hint="default" w:ascii="宋体" w:hAnsi="宋体" w:eastAsia="宋体" w:cs="宋体"/>
      </w:rPr>
    </w:lvl>
  </w:abstractNum>
  <w:abstractNum w:abstractNumId="1">
    <w:nsid w:val="E500E7A2"/>
    <w:multiLevelType w:val="singleLevel"/>
    <w:tmpl w:val="E500E7A2"/>
    <w:lvl w:ilvl="0" w:tentative="0">
      <w:start w:val="1"/>
      <w:numFmt w:val="decimal"/>
      <w:lvlText w:val="C.%1"/>
      <w:lvlJc w:val="left"/>
      <w:pPr>
        <w:tabs>
          <w:tab w:val="left" w:pos="420"/>
        </w:tabs>
        <w:ind w:left="425" w:hanging="425"/>
      </w:pPr>
      <w:rPr>
        <w:rFonts w:hint="default" w:ascii="黑体" w:hAnsi="黑体" w:eastAsia="黑体" w:cs="黑体"/>
        <w:sz w:val="21"/>
        <w:szCs w:val="21"/>
      </w:rPr>
    </w:lvl>
  </w:abstractNum>
  <w:abstractNum w:abstractNumId="2">
    <w:nsid w:val="00000001"/>
    <w:multiLevelType w:val="multilevel"/>
    <w:tmpl w:val="00000001"/>
    <w:lvl w:ilvl="0" w:tentative="0">
      <w:start w:val="1"/>
      <w:numFmt w:val="decimal"/>
      <w:suff w:val="nothing"/>
      <w:lvlText w:val="%1　"/>
      <w:lvlJc w:val="left"/>
      <w:pPr>
        <w:tabs>
          <w:tab w:val="left" w:pos="0"/>
        </w:tabs>
        <w:ind w:left="0" w:firstLine="0"/>
      </w:pPr>
      <w:rPr>
        <w:rFonts w:hint="eastAsia" w:ascii="黑体" w:hAnsi="黑体" w:eastAsia="黑体"/>
        <w:b w:val="0"/>
        <w:bCs w:val="0"/>
        <w:i w:val="0"/>
        <w:iCs w:val="0"/>
        <w:sz w:val="21"/>
        <w:szCs w:val="21"/>
      </w:rPr>
    </w:lvl>
    <w:lvl w:ilvl="1" w:tentative="0">
      <w:start w:val="1"/>
      <w:numFmt w:val="decimal"/>
      <w:suff w:val="nothing"/>
      <w:lvlText w:val="%1.%2　"/>
      <w:lvlJc w:val="left"/>
      <w:pPr>
        <w:tabs>
          <w:tab w:val="left" w:pos="0"/>
        </w:tabs>
        <w:ind w:left="0" w:firstLine="0"/>
      </w:pPr>
      <w:rPr>
        <w:rFonts w:hint="eastAsia" w:ascii="黑体" w:hAnsi="黑体" w:eastAsia="黑体" w:cs="Times New Roman"/>
        <w:b w:val="0"/>
        <w:bCs w:val="0"/>
        <w:i w:val="0"/>
        <w:iCs w:val="0"/>
        <w:caps w:val="0"/>
        <w:smallCaps w:val="0"/>
        <w:spacing w:val="0"/>
        <w:sz w:val="21"/>
        <w:szCs w:val="21"/>
      </w:rPr>
    </w:lvl>
    <w:lvl w:ilvl="2" w:tentative="0">
      <w:start w:val="1"/>
      <w:numFmt w:val="decimal"/>
      <w:suff w:val="nothing"/>
      <w:lvlText w:val="%1.%2.%3　"/>
      <w:lvlJc w:val="left"/>
      <w:pPr>
        <w:tabs>
          <w:tab w:val="left" w:pos="0"/>
        </w:tabs>
        <w:ind w:left="0" w:firstLine="0"/>
      </w:pPr>
      <w:rPr>
        <w:rFonts w:hint="default" w:ascii="黑体" w:hAnsi="黑体" w:eastAsia="黑体"/>
        <w:b w:val="0"/>
        <w:bCs w:val="0"/>
        <w:i w:val="0"/>
        <w:iCs w:val="0"/>
        <w:color w:val="auto"/>
        <w:sz w:val="21"/>
        <w:szCs w:val="21"/>
      </w:rPr>
    </w:lvl>
    <w:lvl w:ilvl="3" w:tentative="0">
      <w:start w:val="1"/>
      <w:numFmt w:val="decimal"/>
      <w:suff w:val="nothing"/>
      <w:lvlText w:val="%1.%2.%3.%4　"/>
      <w:lvlJc w:val="left"/>
      <w:pPr>
        <w:tabs>
          <w:tab w:val="left" w:pos="0"/>
        </w:tabs>
        <w:ind w:left="0" w:firstLine="0"/>
      </w:pPr>
      <w:rPr>
        <w:rFonts w:hint="eastAsia" w:ascii="黑体" w:hAnsi="黑体" w:eastAsia="黑体"/>
        <w:b w:val="0"/>
        <w:bCs w:val="0"/>
        <w:i w:val="0"/>
        <w:iCs w:val="0"/>
        <w:sz w:val="21"/>
        <w:szCs w:val="21"/>
      </w:rPr>
    </w:lvl>
    <w:lvl w:ilvl="4" w:tentative="0">
      <w:start w:val="1"/>
      <w:numFmt w:val="decimal"/>
      <w:suff w:val="nothing"/>
      <w:lvlText w:val="%1.%2.%3.1.%5　"/>
      <w:lvlJc w:val="left"/>
      <w:pPr>
        <w:tabs>
          <w:tab w:val="left" w:pos="0"/>
        </w:tabs>
        <w:ind w:left="0" w:firstLine="0"/>
      </w:pPr>
      <w:rPr>
        <w:rFonts w:hint="eastAsia" w:ascii="黑体" w:hAnsi="黑体" w:eastAsia="黑体"/>
        <w:b w:val="0"/>
        <w:bCs w:val="0"/>
        <w:i w:val="0"/>
        <w:iCs w:val="0"/>
        <w:sz w:val="21"/>
        <w:szCs w:val="21"/>
      </w:rPr>
    </w:lvl>
    <w:lvl w:ilvl="5" w:tentative="0">
      <w:start w:val="1"/>
      <w:numFmt w:val="decimal"/>
      <w:suff w:val="nothing"/>
      <w:lvlText w:val="%1.%2.%3.%4.%5.%6　"/>
      <w:lvlJc w:val="left"/>
      <w:pPr>
        <w:tabs>
          <w:tab w:val="left" w:pos="0"/>
        </w:tabs>
        <w:ind w:left="0" w:firstLine="0"/>
      </w:pPr>
      <w:rPr>
        <w:rFonts w:hint="eastAsia" w:ascii="黑体" w:hAnsi="黑体" w:eastAsia="黑体"/>
        <w:b w:val="0"/>
        <w:bCs w:val="0"/>
        <w:i w:val="0"/>
        <w:iCs w:val="0"/>
        <w:sz w:val="21"/>
        <w:szCs w:val="21"/>
      </w:rPr>
    </w:lvl>
    <w:lvl w:ilvl="6" w:tentative="0">
      <w:start w:val="1"/>
      <w:numFmt w:val="decimal"/>
      <w:suff w:val="nothing"/>
      <w:lvlText w:val="%1%2.%3.%4.%5.%6.%7　"/>
      <w:lvlJc w:val="left"/>
      <w:pPr>
        <w:tabs>
          <w:tab w:val="left" w:pos="0"/>
        </w:tabs>
        <w:ind w:left="0" w:firstLine="0"/>
      </w:pPr>
      <w:rPr>
        <w:rFonts w:hint="eastAsia" w:ascii="黑体" w:hAnsi="黑体" w:eastAsia="黑体"/>
        <w:b w:val="0"/>
        <w:bCs w:val="0"/>
        <w:i w:val="0"/>
        <w:iCs w:val="0"/>
        <w:sz w:val="21"/>
        <w:szCs w:val="21"/>
      </w:rPr>
    </w:lvl>
    <w:lvl w:ilvl="7" w:tentative="0">
      <w:start w:val="1"/>
      <w:numFmt w:val="decimal"/>
      <w:lvlText w:val="%1.%2.%3.%4.%5.%6.%7.%8"/>
      <w:lvlJc w:val="left"/>
      <w:pPr>
        <w:tabs>
          <w:tab w:val="left" w:pos="4351"/>
        </w:tabs>
        <w:ind w:left="3969" w:hanging="1418"/>
      </w:pPr>
      <w:rPr>
        <w:rFonts w:hint="eastAsia" w:ascii="宋体" w:hAnsi="宋体" w:eastAsia="宋体"/>
      </w:rPr>
    </w:lvl>
    <w:lvl w:ilvl="8" w:tentative="0">
      <w:start w:val="1"/>
      <w:numFmt w:val="decimal"/>
      <w:lvlText w:val="%1.%2.%3.%4.%5.%6.%7.%8.%9"/>
      <w:lvlJc w:val="left"/>
      <w:pPr>
        <w:tabs>
          <w:tab w:val="left" w:pos="4777"/>
        </w:tabs>
        <w:ind w:left="4677" w:hanging="1700"/>
      </w:pPr>
      <w:rPr>
        <w:rFonts w:hint="eastAsia" w:ascii="宋体" w:hAnsi="宋体" w:eastAsia="宋体"/>
      </w:rPr>
    </w:lvl>
  </w:abstractNum>
  <w:abstractNum w:abstractNumId="3">
    <w:nsid w:val="162C5D53"/>
    <w:multiLevelType w:val="multilevel"/>
    <w:tmpl w:val="162C5D53"/>
    <w:lvl w:ilvl="0" w:tentative="0">
      <w:start w:val="1"/>
      <w:numFmt w:val="decimal"/>
      <w:pStyle w:val="6"/>
      <w:lvlText w:val="%1."/>
      <w:lvlJc w:val="righ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0B02E8F"/>
    <w:multiLevelType w:val="multilevel"/>
    <w:tmpl w:val="40B02E8F"/>
    <w:lvl w:ilvl="0" w:tentative="0">
      <w:start w:val="1"/>
      <w:numFmt w:val="decimal"/>
      <w:pStyle w:val="24"/>
      <w:suff w:val="nothing"/>
      <w:lvlText w:val="%1　"/>
      <w:lvlJc w:val="left"/>
      <w:pPr>
        <w:tabs>
          <w:tab w:val="left" w:pos="0"/>
        </w:tabs>
        <w:ind w:left="142" w:firstLine="0"/>
      </w:pPr>
      <w:rPr>
        <w:rFonts w:hint="eastAsia" w:ascii="黑体" w:hAnsi="黑体" w:eastAsia="黑体"/>
        <w:b w:val="0"/>
        <w:i w:val="0"/>
        <w:sz w:val="21"/>
        <w:szCs w:val="21"/>
      </w:rPr>
    </w:lvl>
    <w:lvl w:ilvl="1" w:tentative="0">
      <w:start w:val="1"/>
      <w:numFmt w:val="decimal"/>
      <w:pStyle w:val="26"/>
      <w:suff w:val="nothing"/>
      <w:lvlText w:val="%1.%2　"/>
      <w:lvlJc w:val="left"/>
      <w:pPr>
        <w:tabs>
          <w:tab w:val="left" w:pos="0"/>
        </w:tabs>
        <w:ind w:left="142" w:firstLine="0"/>
      </w:pPr>
      <w:rPr>
        <w:rFonts w:hint="eastAsia" w:ascii="黑体" w:hAnsi="黑体" w:eastAsia="黑体" w:cs="Times New Roman"/>
        <w:b w:val="0"/>
        <w:bCs w:val="0"/>
        <w:i w:val="0"/>
        <w:iCs w:val="0"/>
        <w:caps w:val="0"/>
        <w:smallCaps w:val="0"/>
        <w:strike w:val="0"/>
        <w:dstrike w:val="0"/>
        <w:vanish w:val="0"/>
        <w:spacing w:val="0"/>
        <w:kern w:val="0"/>
        <w:position w:val="0"/>
        <w:sz w:val="21"/>
        <w:szCs w:val="21"/>
        <w:u w:val="none"/>
        <w:vertAlign w:val="baseline"/>
      </w:rPr>
    </w:lvl>
    <w:lvl w:ilvl="2" w:tentative="0">
      <w:start w:val="1"/>
      <w:numFmt w:val="decimal"/>
      <w:pStyle w:val="27"/>
      <w:suff w:val="nothing"/>
      <w:lvlText w:val="%1.%2.%3　"/>
      <w:lvlJc w:val="left"/>
      <w:pPr>
        <w:tabs>
          <w:tab w:val="left" w:pos="0"/>
        </w:tabs>
        <w:ind w:left="0" w:firstLine="0"/>
      </w:pPr>
      <w:rPr>
        <w:rFonts w:hint="eastAsia" w:ascii="黑体" w:hAnsi="黑体" w:eastAsia="黑体"/>
        <w:b w:val="0"/>
        <w:i w:val="0"/>
        <w:sz w:val="21"/>
      </w:rPr>
    </w:lvl>
    <w:lvl w:ilvl="3" w:tentative="0">
      <w:start w:val="1"/>
      <w:numFmt w:val="decimal"/>
      <w:suff w:val="nothing"/>
      <w:lvlText w:val="%1.%2.%3.%4　"/>
      <w:lvlJc w:val="left"/>
      <w:pPr>
        <w:tabs>
          <w:tab w:val="left" w:pos="0"/>
        </w:tabs>
        <w:ind w:left="0" w:firstLine="0"/>
      </w:pPr>
      <w:rPr>
        <w:rFonts w:hint="eastAsia" w:ascii="黑体" w:hAnsi="黑体" w:eastAsia="黑体"/>
        <w:b w:val="0"/>
        <w:i w:val="0"/>
        <w:sz w:val="21"/>
      </w:rPr>
    </w:lvl>
    <w:lvl w:ilvl="4" w:tentative="0">
      <w:start w:val="1"/>
      <w:numFmt w:val="decimal"/>
      <w:suff w:val="nothing"/>
      <w:lvlText w:val="%1.%2.%3.%4.%5　"/>
      <w:lvlJc w:val="left"/>
      <w:pPr>
        <w:tabs>
          <w:tab w:val="left" w:pos="0"/>
        </w:tabs>
        <w:ind w:left="0" w:firstLine="0"/>
      </w:pPr>
      <w:rPr>
        <w:rFonts w:hint="eastAsia" w:ascii="黑体" w:hAnsi="黑体" w:eastAsia="黑体"/>
        <w:b w:val="0"/>
        <w:i w:val="0"/>
        <w:sz w:val="21"/>
      </w:rPr>
    </w:lvl>
    <w:lvl w:ilvl="5" w:tentative="0">
      <w:start w:val="1"/>
      <w:numFmt w:val="decimal"/>
      <w:suff w:val="nothing"/>
      <w:lvlText w:val="%1.%2.%3.%4.%5.%6　"/>
      <w:lvlJc w:val="left"/>
      <w:pPr>
        <w:tabs>
          <w:tab w:val="left" w:pos="0"/>
        </w:tabs>
        <w:ind w:left="0" w:firstLine="0"/>
      </w:pPr>
      <w:rPr>
        <w:rFonts w:hint="eastAsia" w:ascii="黑体" w:hAnsi="黑体" w:eastAsia="黑体"/>
        <w:b w:val="0"/>
        <w:i w:val="0"/>
        <w:sz w:val="21"/>
      </w:rPr>
    </w:lvl>
    <w:lvl w:ilvl="6" w:tentative="0">
      <w:start w:val="1"/>
      <w:numFmt w:val="decimal"/>
      <w:suff w:val="nothing"/>
      <w:lvlText w:val="%1%2.%3.%4.%5.%6.%7　"/>
      <w:lvlJc w:val="left"/>
      <w:pPr>
        <w:tabs>
          <w:tab w:val="left" w:pos="0"/>
        </w:tabs>
        <w:ind w:left="0" w:firstLine="0"/>
      </w:pPr>
      <w:rPr>
        <w:rFonts w:hint="eastAsia" w:ascii="黑体" w:hAns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5">
    <w:nsid w:val="44C50F90"/>
    <w:multiLevelType w:val="multilevel"/>
    <w:tmpl w:val="44C50F90"/>
    <w:lvl w:ilvl="0" w:tentative="0">
      <w:start w:val="1"/>
      <w:numFmt w:val="lowerLetter"/>
      <w:pStyle w:val="58"/>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6">
    <w:nsid w:val="657D3FBC"/>
    <w:multiLevelType w:val="multilevel"/>
    <w:tmpl w:val="657D3FBC"/>
    <w:lvl w:ilvl="0" w:tentative="0">
      <w:start w:val="1"/>
      <w:numFmt w:val="upperLetter"/>
      <w:pStyle w:val="59"/>
      <w:suff w:val="nothing"/>
      <w:lvlText w:val="附录%1"/>
      <w:lvlJc w:val="left"/>
      <w:pPr>
        <w:ind w:left="0" w:firstLine="0"/>
      </w:pPr>
      <w:rPr>
        <w:rFonts w:hint="eastAsia"/>
        <w:spacing w:val="100"/>
      </w:rPr>
    </w:lvl>
    <w:lvl w:ilvl="1" w:tentative="0">
      <w:start w:val="1"/>
      <w:numFmt w:val="decimal"/>
      <w:suff w:val="nothing"/>
      <w:lvlText w:val="%1.%2　"/>
      <w:lvlJc w:val="left"/>
      <w:pPr>
        <w:ind w:left="0" w:firstLine="0"/>
      </w:pPr>
      <w:rPr>
        <w:rFonts w:hint="eastAsia" w:ascii="黑体" w:eastAsia="黑体"/>
        <w:b w:val="0"/>
        <w:i w:val="0"/>
        <w:sz w:val="21"/>
      </w:rPr>
    </w:lvl>
    <w:lvl w:ilvl="2" w:tentative="0">
      <w:start w:val="1"/>
      <w:numFmt w:val="decimal"/>
      <w:suff w:val="nothing"/>
      <w:lvlText w:val="%1.%2.%3　"/>
      <w:lvlJc w:val="left"/>
      <w:pPr>
        <w:ind w:left="0" w:firstLine="0"/>
      </w:pPr>
      <w:rPr>
        <w:rFonts w:hint="eastAsia" w:ascii="黑体" w:eastAsia="黑体"/>
        <w:b w:val="0"/>
        <w:i w:val="0"/>
        <w:sz w:val="21"/>
      </w:rPr>
    </w:lvl>
    <w:lvl w:ilvl="3" w:tentative="0">
      <w:start w:val="1"/>
      <w:numFmt w:val="decimal"/>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DBF04F4"/>
    <w:multiLevelType w:val="multilevel"/>
    <w:tmpl w:val="6DBF04F4"/>
    <w:lvl w:ilvl="0" w:tentative="0">
      <w:start w:val="1"/>
      <w:numFmt w:val="none"/>
      <w:pStyle w:val="56"/>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num w:numId="1">
    <w:abstractNumId w:val="0"/>
  </w:num>
  <w:num w:numId="2">
    <w:abstractNumId w:val="3"/>
  </w:num>
  <w:num w:numId="3">
    <w:abstractNumId w:val="4"/>
  </w:num>
  <w:num w:numId="4">
    <w:abstractNumId w:val="7"/>
  </w:num>
  <w:num w:numId="5">
    <w:abstractNumId w:val="5"/>
  </w:num>
  <w:num w:numId="6">
    <w:abstractNumId w:val="6"/>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revisionView w:markup="0"/>
  <w:documentProtection w:enforcement="0"/>
  <w:defaultTabStop w:val="420"/>
  <w:evenAndOddHeaders w:val="1"/>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IxNzI2MjEzZTFkYWMwNGI2MGE4YTU3MzJiYWE4MjAifQ=="/>
  </w:docVars>
  <w:rsids>
    <w:rsidRoot w:val="2F177BA3"/>
    <w:rsid w:val="000021E3"/>
    <w:rsid w:val="000151CA"/>
    <w:rsid w:val="000402C3"/>
    <w:rsid w:val="00057B0C"/>
    <w:rsid w:val="00084ECF"/>
    <w:rsid w:val="000B6DBB"/>
    <w:rsid w:val="000B7021"/>
    <w:rsid w:val="000D0768"/>
    <w:rsid w:val="000E6EA5"/>
    <w:rsid w:val="000F6A17"/>
    <w:rsid w:val="00103EB3"/>
    <w:rsid w:val="00115D3E"/>
    <w:rsid w:val="0015739B"/>
    <w:rsid w:val="00164DEE"/>
    <w:rsid w:val="001667BB"/>
    <w:rsid w:val="001A31E3"/>
    <w:rsid w:val="001B5DF7"/>
    <w:rsid w:val="001D1C7E"/>
    <w:rsid w:val="001D3CFA"/>
    <w:rsid w:val="001D5591"/>
    <w:rsid w:val="001F7744"/>
    <w:rsid w:val="00201586"/>
    <w:rsid w:val="002114D2"/>
    <w:rsid w:val="00221FA9"/>
    <w:rsid w:val="00233A68"/>
    <w:rsid w:val="00255F82"/>
    <w:rsid w:val="00265817"/>
    <w:rsid w:val="00291EFA"/>
    <w:rsid w:val="002B0E06"/>
    <w:rsid w:val="002E5A32"/>
    <w:rsid w:val="003225FF"/>
    <w:rsid w:val="00322E36"/>
    <w:rsid w:val="00331D6B"/>
    <w:rsid w:val="003A1163"/>
    <w:rsid w:val="003A5067"/>
    <w:rsid w:val="003B1D3E"/>
    <w:rsid w:val="003C33D5"/>
    <w:rsid w:val="003D2164"/>
    <w:rsid w:val="003E032A"/>
    <w:rsid w:val="003E694E"/>
    <w:rsid w:val="003F256F"/>
    <w:rsid w:val="0041720E"/>
    <w:rsid w:val="00422A26"/>
    <w:rsid w:val="0043652D"/>
    <w:rsid w:val="00457611"/>
    <w:rsid w:val="00465B16"/>
    <w:rsid w:val="00472FB9"/>
    <w:rsid w:val="004C2C42"/>
    <w:rsid w:val="004C3C75"/>
    <w:rsid w:val="004E11FF"/>
    <w:rsid w:val="004E15B6"/>
    <w:rsid w:val="00502170"/>
    <w:rsid w:val="00522527"/>
    <w:rsid w:val="00535FBB"/>
    <w:rsid w:val="005479BD"/>
    <w:rsid w:val="00571E7D"/>
    <w:rsid w:val="00575549"/>
    <w:rsid w:val="00580B1D"/>
    <w:rsid w:val="005C4D11"/>
    <w:rsid w:val="005D63BC"/>
    <w:rsid w:val="005E5047"/>
    <w:rsid w:val="005F0B60"/>
    <w:rsid w:val="00606EC8"/>
    <w:rsid w:val="00617CAB"/>
    <w:rsid w:val="00631202"/>
    <w:rsid w:val="00640105"/>
    <w:rsid w:val="0064799A"/>
    <w:rsid w:val="006778A8"/>
    <w:rsid w:val="006827E1"/>
    <w:rsid w:val="006F0481"/>
    <w:rsid w:val="006F1106"/>
    <w:rsid w:val="007513F2"/>
    <w:rsid w:val="00775E9B"/>
    <w:rsid w:val="0079186B"/>
    <w:rsid w:val="007A7435"/>
    <w:rsid w:val="007C55E6"/>
    <w:rsid w:val="00812696"/>
    <w:rsid w:val="00812A1E"/>
    <w:rsid w:val="008501FE"/>
    <w:rsid w:val="00864D1C"/>
    <w:rsid w:val="00873A06"/>
    <w:rsid w:val="008902AA"/>
    <w:rsid w:val="008C233E"/>
    <w:rsid w:val="008C4B90"/>
    <w:rsid w:val="008C71EB"/>
    <w:rsid w:val="008D0C89"/>
    <w:rsid w:val="008E05BD"/>
    <w:rsid w:val="009114A2"/>
    <w:rsid w:val="00913025"/>
    <w:rsid w:val="00922B9C"/>
    <w:rsid w:val="009340E2"/>
    <w:rsid w:val="0094107E"/>
    <w:rsid w:val="009622A3"/>
    <w:rsid w:val="00962D2B"/>
    <w:rsid w:val="009701CF"/>
    <w:rsid w:val="009D0E48"/>
    <w:rsid w:val="009D3C7A"/>
    <w:rsid w:val="009F7A7F"/>
    <w:rsid w:val="00A00358"/>
    <w:rsid w:val="00A02C83"/>
    <w:rsid w:val="00A067B3"/>
    <w:rsid w:val="00A10D0A"/>
    <w:rsid w:val="00A45A2A"/>
    <w:rsid w:val="00A523EC"/>
    <w:rsid w:val="00A638C0"/>
    <w:rsid w:val="00AD7EE7"/>
    <w:rsid w:val="00B00FD2"/>
    <w:rsid w:val="00B1485E"/>
    <w:rsid w:val="00B34CB0"/>
    <w:rsid w:val="00B978E3"/>
    <w:rsid w:val="00BD0D05"/>
    <w:rsid w:val="00BE5B1E"/>
    <w:rsid w:val="00C050BD"/>
    <w:rsid w:val="00C12413"/>
    <w:rsid w:val="00C55B0E"/>
    <w:rsid w:val="00C653FB"/>
    <w:rsid w:val="00C72404"/>
    <w:rsid w:val="00C80FD3"/>
    <w:rsid w:val="00C86CAF"/>
    <w:rsid w:val="00CA1DEB"/>
    <w:rsid w:val="00CF1B95"/>
    <w:rsid w:val="00CF1D0E"/>
    <w:rsid w:val="00D17F7C"/>
    <w:rsid w:val="00D20E7A"/>
    <w:rsid w:val="00D30A9C"/>
    <w:rsid w:val="00D4190F"/>
    <w:rsid w:val="00D44DDB"/>
    <w:rsid w:val="00D808FC"/>
    <w:rsid w:val="00DE44D6"/>
    <w:rsid w:val="00DF4B49"/>
    <w:rsid w:val="00E0414A"/>
    <w:rsid w:val="00E06C58"/>
    <w:rsid w:val="00E464E3"/>
    <w:rsid w:val="00E818C6"/>
    <w:rsid w:val="00EA28CD"/>
    <w:rsid w:val="00EE3B92"/>
    <w:rsid w:val="00F420EA"/>
    <w:rsid w:val="00F61489"/>
    <w:rsid w:val="00F8123B"/>
    <w:rsid w:val="00F8356A"/>
    <w:rsid w:val="00F84D69"/>
    <w:rsid w:val="00FA0F9D"/>
    <w:rsid w:val="00FF0FCD"/>
    <w:rsid w:val="00FF138B"/>
    <w:rsid w:val="0146132F"/>
    <w:rsid w:val="01A80075"/>
    <w:rsid w:val="0241086C"/>
    <w:rsid w:val="024B5E20"/>
    <w:rsid w:val="026A7553"/>
    <w:rsid w:val="02741753"/>
    <w:rsid w:val="02CB4B9C"/>
    <w:rsid w:val="04685B86"/>
    <w:rsid w:val="04AA3E55"/>
    <w:rsid w:val="05FD1A1B"/>
    <w:rsid w:val="06067D09"/>
    <w:rsid w:val="06696499"/>
    <w:rsid w:val="06AB2F0D"/>
    <w:rsid w:val="06BC2EF9"/>
    <w:rsid w:val="072E3554"/>
    <w:rsid w:val="076C2BD4"/>
    <w:rsid w:val="07E40D23"/>
    <w:rsid w:val="08475E03"/>
    <w:rsid w:val="08F85C40"/>
    <w:rsid w:val="091B5C94"/>
    <w:rsid w:val="09776032"/>
    <w:rsid w:val="09E31182"/>
    <w:rsid w:val="09F81DA7"/>
    <w:rsid w:val="0A6329D9"/>
    <w:rsid w:val="0B1F485C"/>
    <w:rsid w:val="0BA3453C"/>
    <w:rsid w:val="0BB11593"/>
    <w:rsid w:val="0C337DB9"/>
    <w:rsid w:val="0C490F24"/>
    <w:rsid w:val="0CB03318"/>
    <w:rsid w:val="0CC156E9"/>
    <w:rsid w:val="0D5053E1"/>
    <w:rsid w:val="0ECA2A32"/>
    <w:rsid w:val="0EFB348C"/>
    <w:rsid w:val="0F2B5DE0"/>
    <w:rsid w:val="10696F6B"/>
    <w:rsid w:val="10C47C8B"/>
    <w:rsid w:val="11965718"/>
    <w:rsid w:val="11C05127"/>
    <w:rsid w:val="11DC4870"/>
    <w:rsid w:val="120236E4"/>
    <w:rsid w:val="129D3DB7"/>
    <w:rsid w:val="12AF0A2B"/>
    <w:rsid w:val="13293F9E"/>
    <w:rsid w:val="14261CF0"/>
    <w:rsid w:val="14EB7D87"/>
    <w:rsid w:val="155A3DF1"/>
    <w:rsid w:val="15D72272"/>
    <w:rsid w:val="16080B12"/>
    <w:rsid w:val="163F42C5"/>
    <w:rsid w:val="16444AD3"/>
    <w:rsid w:val="17A25A9F"/>
    <w:rsid w:val="17A33317"/>
    <w:rsid w:val="180B6475"/>
    <w:rsid w:val="1836143D"/>
    <w:rsid w:val="183678C8"/>
    <w:rsid w:val="18646C21"/>
    <w:rsid w:val="18F63216"/>
    <w:rsid w:val="199A1085"/>
    <w:rsid w:val="1A4D5C3D"/>
    <w:rsid w:val="1B7B3FAB"/>
    <w:rsid w:val="1B7E1C6C"/>
    <w:rsid w:val="1B863CDB"/>
    <w:rsid w:val="1C1F7694"/>
    <w:rsid w:val="1C2B0AF5"/>
    <w:rsid w:val="1C416041"/>
    <w:rsid w:val="1D4D4640"/>
    <w:rsid w:val="1E0D7210"/>
    <w:rsid w:val="1F98722E"/>
    <w:rsid w:val="1FFC355F"/>
    <w:rsid w:val="20EC1FDC"/>
    <w:rsid w:val="213A2602"/>
    <w:rsid w:val="213E124E"/>
    <w:rsid w:val="232B4A30"/>
    <w:rsid w:val="23B911CE"/>
    <w:rsid w:val="2562054D"/>
    <w:rsid w:val="2593449F"/>
    <w:rsid w:val="25A73191"/>
    <w:rsid w:val="260D0E6E"/>
    <w:rsid w:val="265F3825"/>
    <w:rsid w:val="266670A1"/>
    <w:rsid w:val="26CA3461"/>
    <w:rsid w:val="26E1055E"/>
    <w:rsid w:val="26E11A39"/>
    <w:rsid w:val="275F2F9C"/>
    <w:rsid w:val="27B837B5"/>
    <w:rsid w:val="28A57091"/>
    <w:rsid w:val="28F27BB8"/>
    <w:rsid w:val="28FB068B"/>
    <w:rsid w:val="29CA2867"/>
    <w:rsid w:val="29CC4498"/>
    <w:rsid w:val="2A2B42CD"/>
    <w:rsid w:val="2B023C0B"/>
    <w:rsid w:val="2B5466C6"/>
    <w:rsid w:val="2B736420"/>
    <w:rsid w:val="2BCA2939"/>
    <w:rsid w:val="2C174AFB"/>
    <w:rsid w:val="2C2000EA"/>
    <w:rsid w:val="2C2978FD"/>
    <w:rsid w:val="2CB10C36"/>
    <w:rsid w:val="2DC1007E"/>
    <w:rsid w:val="2DE31010"/>
    <w:rsid w:val="2E3D39B6"/>
    <w:rsid w:val="2F01102A"/>
    <w:rsid w:val="2F177BA3"/>
    <w:rsid w:val="2F353EB3"/>
    <w:rsid w:val="2F6F34D2"/>
    <w:rsid w:val="2FF34E09"/>
    <w:rsid w:val="300C2C61"/>
    <w:rsid w:val="30177242"/>
    <w:rsid w:val="303423C9"/>
    <w:rsid w:val="304C4D51"/>
    <w:rsid w:val="30D32D63"/>
    <w:rsid w:val="30ED7D8B"/>
    <w:rsid w:val="3114234C"/>
    <w:rsid w:val="314F0577"/>
    <w:rsid w:val="324B138C"/>
    <w:rsid w:val="32726C96"/>
    <w:rsid w:val="32D81743"/>
    <w:rsid w:val="32F661BE"/>
    <w:rsid w:val="33046310"/>
    <w:rsid w:val="34627A41"/>
    <w:rsid w:val="35455565"/>
    <w:rsid w:val="358B2F15"/>
    <w:rsid w:val="366317F8"/>
    <w:rsid w:val="37106631"/>
    <w:rsid w:val="374177D6"/>
    <w:rsid w:val="378D08B0"/>
    <w:rsid w:val="38916254"/>
    <w:rsid w:val="38CF713B"/>
    <w:rsid w:val="38E5437C"/>
    <w:rsid w:val="39F17BD3"/>
    <w:rsid w:val="3A3375A8"/>
    <w:rsid w:val="3AC60F59"/>
    <w:rsid w:val="3B6C1FA2"/>
    <w:rsid w:val="3BAC2372"/>
    <w:rsid w:val="3C4A6D15"/>
    <w:rsid w:val="3C587ED8"/>
    <w:rsid w:val="3DA319B9"/>
    <w:rsid w:val="3E3F2459"/>
    <w:rsid w:val="3E892FB5"/>
    <w:rsid w:val="3E954BDE"/>
    <w:rsid w:val="3EFA141A"/>
    <w:rsid w:val="3FBA2E4D"/>
    <w:rsid w:val="40AC7358"/>
    <w:rsid w:val="40B159B1"/>
    <w:rsid w:val="40DB7983"/>
    <w:rsid w:val="410853CA"/>
    <w:rsid w:val="41515FD5"/>
    <w:rsid w:val="427D56FF"/>
    <w:rsid w:val="429E0156"/>
    <w:rsid w:val="42B549EC"/>
    <w:rsid w:val="43786B11"/>
    <w:rsid w:val="43C938F2"/>
    <w:rsid w:val="43F44E78"/>
    <w:rsid w:val="440E1D35"/>
    <w:rsid w:val="441C1BEE"/>
    <w:rsid w:val="44202E41"/>
    <w:rsid w:val="44404F02"/>
    <w:rsid w:val="4469311E"/>
    <w:rsid w:val="4500029A"/>
    <w:rsid w:val="451E7D90"/>
    <w:rsid w:val="455E3999"/>
    <w:rsid w:val="45CD08B4"/>
    <w:rsid w:val="461C4DD9"/>
    <w:rsid w:val="464D496E"/>
    <w:rsid w:val="46502DC4"/>
    <w:rsid w:val="46A317CA"/>
    <w:rsid w:val="473445C0"/>
    <w:rsid w:val="480B000A"/>
    <w:rsid w:val="484167DC"/>
    <w:rsid w:val="48603867"/>
    <w:rsid w:val="4948788D"/>
    <w:rsid w:val="49AE0459"/>
    <w:rsid w:val="49C03205"/>
    <w:rsid w:val="49C15353"/>
    <w:rsid w:val="4A6F3BCB"/>
    <w:rsid w:val="4A734FEC"/>
    <w:rsid w:val="4B2312F3"/>
    <w:rsid w:val="4B541987"/>
    <w:rsid w:val="4BE64BB5"/>
    <w:rsid w:val="4C0D111E"/>
    <w:rsid w:val="4D364DE1"/>
    <w:rsid w:val="4D4451E5"/>
    <w:rsid w:val="4D4E1855"/>
    <w:rsid w:val="4E064AEF"/>
    <w:rsid w:val="4E106D7F"/>
    <w:rsid w:val="511B5C01"/>
    <w:rsid w:val="513332DD"/>
    <w:rsid w:val="51DF0C7D"/>
    <w:rsid w:val="53706C96"/>
    <w:rsid w:val="537E0E3C"/>
    <w:rsid w:val="539B7CA4"/>
    <w:rsid w:val="539F3BBF"/>
    <w:rsid w:val="53BD1466"/>
    <w:rsid w:val="546C51F9"/>
    <w:rsid w:val="5499763D"/>
    <w:rsid w:val="54BB24AC"/>
    <w:rsid w:val="54C719FE"/>
    <w:rsid w:val="54D830C9"/>
    <w:rsid w:val="552D65B2"/>
    <w:rsid w:val="554644B0"/>
    <w:rsid w:val="55724A73"/>
    <w:rsid w:val="55B12946"/>
    <w:rsid w:val="55EF2B92"/>
    <w:rsid w:val="563A7E9B"/>
    <w:rsid w:val="57040FCF"/>
    <w:rsid w:val="57132060"/>
    <w:rsid w:val="58731C86"/>
    <w:rsid w:val="589A5A84"/>
    <w:rsid w:val="58E56C4D"/>
    <w:rsid w:val="59C55C40"/>
    <w:rsid w:val="59E96543"/>
    <w:rsid w:val="5B125F80"/>
    <w:rsid w:val="5B7968A5"/>
    <w:rsid w:val="5BCA1CC1"/>
    <w:rsid w:val="5BE10DB9"/>
    <w:rsid w:val="5C143B84"/>
    <w:rsid w:val="5D8E2FB4"/>
    <w:rsid w:val="5F292EA4"/>
    <w:rsid w:val="5FA23619"/>
    <w:rsid w:val="602C1457"/>
    <w:rsid w:val="60851817"/>
    <w:rsid w:val="60CB44EE"/>
    <w:rsid w:val="60CF616D"/>
    <w:rsid w:val="60E22BE6"/>
    <w:rsid w:val="615B5874"/>
    <w:rsid w:val="61B4283C"/>
    <w:rsid w:val="620125FA"/>
    <w:rsid w:val="62B47B67"/>
    <w:rsid w:val="62CB48B4"/>
    <w:rsid w:val="62D847E2"/>
    <w:rsid w:val="6335689B"/>
    <w:rsid w:val="634F3D8B"/>
    <w:rsid w:val="636636D5"/>
    <w:rsid w:val="63A222E6"/>
    <w:rsid w:val="63CA2482"/>
    <w:rsid w:val="64274A41"/>
    <w:rsid w:val="646E256B"/>
    <w:rsid w:val="649141F3"/>
    <w:rsid w:val="652348A7"/>
    <w:rsid w:val="654A56CB"/>
    <w:rsid w:val="654C3148"/>
    <w:rsid w:val="65695769"/>
    <w:rsid w:val="65E720CA"/>
    <w:rsid w:val="67483B45"/>
    <w:rsid w:val="68030D5C"/>
    <w:rsid w:val="6822332F"/>
    <w:rsid w:val="68BA637E"/>
    <w:rsid w:val="6900332F"/>
    <w:rsid w:val="693D6328"/>
    <w:rsid w:val="694072CE"/>
    <w:rsid w:val="69576B70"/>
    <w:rsid w:val="69E16BDA"/>
    <w:rsid w:val="69EC3760"/>
    <w:rsid w:val="6A4229A3"/>
    <w:rsid w:val="6A461672"/>
    <w:rsid w:val="6A684C08"/>
    <w:rsid w:val="6A70797F"/>
    <w:rsid w:val="6AC36E26"/>
    <w:rsid w:val="6AEA4FDF"/>
    <w:rsid w:val="6C152E37"/>
    <w:rsid w:val="6CE54BD9"/>
    <w:rsid w:val="6D357405"/>
    <w:rsid w:val="6D392A1A"/>
    <w:rsid w:val="6F5A3700"/>
    <w:rsid w:val="6FCA6FB7"/>
    <w:rsid w:val="7020384A"/>
    <w:rsid w:val="70486AB2"/>
    <w:rsid w:val="706A48D9"/>
    <w:rsid w:val="708A7664"/>
    <w:rsid w:val="71175C46"/>
    <w:rsid w:val="71607B9A"/>
    <w:rsid w:val="716373FD"/>
    <w:rsid w:val="71B228BF"/>
    <w:rsid w:val="71C11D20"/>
    <w:rsid w:val="7229446D"/>
    <w:rsid w:val="72AD2A7F"/>
    <w:rsid w:val="72BE5115"/>
    <w:rsid w:val="72FF0871"/>
    <w:rsid w:val="73FC4F2D"/>
    <w:rsid w:val="74120CC5"/>
    <w:rsid w:val="748F2656"/>
    <w:rsid w:val="74A85FBF"/>
    <w:rsid w:val="74C467E8"/>
    <w:rsid w:val="752D1648"/>
    <w:rsid w:val="753125F5"/>
    <w:rsid w:val="75411FD3"/>
    <w:rsid w:val="75734118"/>
    <w:rsid w:val="75B40A96"/>
    <w:rsid w:val="75B540A4"/>
    <w:rsid w:val="75D37752"/>
    <w:rsid w:val="765B6E57"/>
    <w:rsid w:val="765D1944"/>
    <w:rsid w:val="76696F35"/>
    <w:rsid w:val="771A3F7D"/>
    <w:rsid w:val="7995107B"/>
    <w:rsid w:val="79D92C01"/>
    <w:rsid w:val="7A385FAE"/>
    <w:rsid w:val="7A6A6FEE"/>
    <w:rsid w:val="7A8B5A65"/>
    <w:rsid w:val="7B07127C"/>
    <w:rsid w:val="7B3A714A"/>
    <w:rsid w:val="7BD71C69"/>
    <w:rsid w:val="7C372603"/>
    <w:rsid w:val="7C9C6407"/>
    <w:rsid w:val="7D9D2B3B"/>
    <w:rsid w:val="7E66770F"/>
    <w:rsid w:val="7E7B049D"/>
    <w:rsid w:val="7E937B83"/>
    <w:rsid w:val="7EE729B7"/>
    <w:rsid w:val="7EF245A3"/>
    <w:rsid w:val="7EFE2160"/>
    <w:rsid w:val="7F2E0008"/>
    <w:rsid w:val="7F5D09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宋体" w:eastAsia="宋体" w:cstheme="minorBidi"/>
      <w:kern w:val="2"/>
      <w:sz w:val="21"/>
      <w:szCs w:val="24"/>
      <w:lang w:val="en-US" w:eastAsia="zh-CN" w:bidi="ar-SA"/>
    </w:rPr>
  </w:style>
  <w:style w:type="paragraph" w:styleId="4">
    <w:name w:val="heading 1"/>
    <w:basedOn w:val="1"/>
    <w:next w:val="1"/>
    <w:qFormat/>
    <w:uiPriority w:val="0"/>
    <w:pPr>
      <w:keepNext/>
      <w:keepLines/>
      <w:spacing w:before="340" w:after="330" w:line="576" w:lineRule="auto"/>
      <w:ind w:left="420" w:hanging="420"/>
      <w:jc w:val="center"/>
      <w:outlineLvl w:val="0"/>
    </w:pPr>
    <w:rPr>
      <w:rFonts w:eastAsia="黑体"/>
      <w:b/>
      <w:bCs/>
      <w:kern w:val="44"/>
      <w:sz w:val="28"/>
      <w:szCs w:val="28"/>
    </w:rPr>
  </w:style>
  <w:style w:type="paragraph" w:styleId="5">
    <w:name w:val="heading 3"/>
    <w:basedOn w:val="1"/>
    <w:next w:val="1"/>
    <w:unhideWhenUsed/>
    <w:qFormat/>
    <w:uiPriority w:val="0"/>
    <w:pPr>
      <w:keepNext/>
      <w:keepLines/>
      <w:numPr>
        <w:ilvl w:val="2"/>
        <w:numId w:val="1"/>
      </w:numPr>
      <w:spacing w:before="50" w:beforeLines="50" w:after="50" w:afterLines="50"/>
      <w:ind w:left="0" w:firstLine="0"/>
      <w:jc w:val="center"/>
      <w:outlineLvl w:val="2"/>
    </w:pPr>
    <w:rPr>
      <w:rFonts w:ascii="仿宋" w:hAnsi="仿宋" w:eastAsia="黑体"/>
      <w:bCs/>
      <w:szCs w:val="24"/>
    </w:rPr>
  </w:style>
  <w:style w:type="paragraph" w:styleId="6">
    <w:name w:val="heading 4"/>
    <w:basedOn w:val="1"/>
    <w:next w:val="1"/>
    <w:unhideWhenUsed/>
    <w:qFormat/>
    <w:uiPriority w:val="9"/>
    <w:pPr>
      <w:keepNext/>
      <w:keepLines/>
      <w:numPr>
        <w:ilvl w:val="0"/>
        <w:numId w:val="2"/>
      </w:numPr>
      <w:spacing w:before="280" w:after="290" w:line="376" w:lineRule="auto"/>
      <w:outlineLvl w:val="3"/>
    </w:pPr>
    <w:rPr>
      <w:rFonts w:asciiTheme="majorHAnsi" w:hAnsiTheme="majorHAnsi" w:eastAsiaTheme="majorEastAsia" w:cstheme="majorBidi"/>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afterLines="0" w:afterAutospacing="0"/>
      <w:ind w:left="420" w:leftChars="200"/>
    </w:pPr>
  </w:style>
  <w:style w:type="paragraph" w:styleId="7">
    <w:name w:val="index 8"/>
    <w:basedOn w:val="1"/>
    <w:next w:val="1"/>
    <w:qFormat/>
    <w:uiPriority w:val="0"/>
    <w:pPr>
      <w:ind w:left="2940" w:leftChars="1400"/>
    </w:pPr>
  </w:style>
  <w:style w:type="paragraph" w:styleId="8">
    <w:name w:val="Normal Indent"/>
    <w:basedOn w:val="1"/>
    <w:qFormat/>
    <w:uiPriority w:val="0"/>
    <w:pPr>
      <w:spacing w:line="360" w:lineRule="auto"/>
      <w:ind w:firstLine="200" w:firstLineChars="200"/>
    </w:pPr>
    <w:rPr>
      <w:rFonts w:ascii="Times New Roman" w:hAnsi="Times New Roman" w:eastAsia="宋体" w:cs="Times New Roman"/>
      <w:szCs w:val="20"/>
    </w:rPr>
  </w:style>
  <w:style w:type="paragraph" w:styleId="9">
    <w:name w:val="annotation text"/>
    <w:basedOn w:val="1"/>
    <w:qFormat/>
    <w:uiPriority w:val="0"/>
    <w:pPr>
      <w:jc w:val="left"/>
    </w:pPr>
  </w:style>
  <w:style w:type="paragraph" w:styleId="10">
    <w:name w:val="Body Text"/>
    <w:basedOn w:val="1"/>
    <w:qFormat/>
    <w:uiPriority w:val="1"/>
    <w:rPr>
      <w:rFonts w:ascii="宋体" w:hAnsi="宋体" w:eastAsia="宋体" w:cs="宋体"/>
      <w:sz w:val="24"/>
      <w:szCs w:val="24"/>
      <w:lang w:val="zh-CN" w:eastAsia="zh-CN" w:bidi="zh-CN"/>
    </w:rPr>
  </w:style>
  <w:style w:type="paragraph" w:styleId="11">
    <w:name w:val="Balloon Text"/>
    <w:basedOn w:val="1"/>
    <w:link w:val="53"/>
    <w:qFormat/>
    <w:uiPriority w:val="0"/>
    <w:rPr>
      <w:sz w:val="18"/>
      <w:szCs w:val="18"/>
    </w:rPr>
  </w:style>
  <w:style w:type="paragraph" w:styleId="12">
    <w:name w:val="footer"/>
    <w:basedOn w:val="1"/>
    <w:qFormat/>
    <w:uiPriority w:val="0"/>
    <w:pPr>
      <w:snapToGrid w:val="0"/>
      <w:ind w:right="210" w:rightChars="100"/>
      <w:jc w:val="right"/>
    </w:pPr>
    <w:rPr>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qFormat/>
    <w:uiPriority w:val="0"/>
  </w:style>
  <w:style w:type="paragraph" w:styleId="15">
    <w:name w:val="footnote text"/>
    <w:basedOn w:val="1"/>
    <w:qFormat/>
    <w:uiPriority w:val="0"/>
    <w:pPr>
      <w:snapToGrid w:val="0"/>
    </w:pPr>
    <w:rPr>
      <w:rFonts w:cs="Times New Roman"/>
      <w:sz w:val="18"/>
      <w:szCs w:val="18"/>
    </w:rPr>
  </w:style>
  <w:style w:type="paragraph" w:styleId="16">
    <w:name w:val="toc 2"/>
    <w:basedOn w:val="1"/>
    <w:next w:val="1"/>
    <w:qFormat/>
    <w:uiPriority w:val="0"/>
    <w:pPr>
      <w:ind w:left="420" w:leftChars="200"/>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FollowedHyperlink"/>
    <w:basedOn w:val="19"/>
    <w:semiHidden/>
    <w:unhideWhenUsed/>
    <w:qFormat/>
    <w:uiPriority w:val="99"/>
    <w:rPr>
      <w:color w:val="954F72" w:themeColor="followedHyperlink"/>
      <w:u w:val="single"/>
      <w14:textFill>
        <w14:solidFill>
          <w14:schemeClr w14:val="folHlink"/>
        </w14:solidFill>
      </w14:textFill>
    </w:rPr>
  </w:style>
  <w:style w:type="character" w:styleId="22">
    <w:name w:val="Emphasis"/>
    <w:basedOn w:val="19"/>
    <w:qFormat/>
    <w:uiPriority w:val="0"/>
    <w:rPr>
      <w:i/>
    </w:rPr>
  </w:style>
  <w:style w:type="character" w:styleId="23">
    <w:name w:val="Hyperlink"/>
    <w:basedOn w:val="19"/>
    <w:unhideWhenUsed/>
    <w:qFormat/>
    <w:uiPriority w:val="99"/>
    <w:rPr>
      <w:color w:val="0563C1" w:themeColor="hyperlink"/>
      <w:u w:val="single"/>
      <w14:textFill>
        <w14:solidFill>
          <w14:schemeClr w14:val="hlink"/>
        </w14:solidFill>
      </w14:textFill>
    </w:rPr>
  </w:style>
  <w:style w:type="paragraph" w:customStyle="1" w:styleId="24">
    <w:name w:val="章标题"/>
    <w:next w:val="25"/>
    <w:qFormat/>
    <w:uiPriority w:val="0"/>
    <w:pPr>
      <w:numPr>
        <w:ilvl w:val="0"/>
        <w:numId w:val="3"/>
      </w:numPr>
      <w:spacing w:beforeLines="100" w:afterLines="100"/>
      <w:jc w:val="both"/>
      <w:outlineLvl w:val="1"/>
    </w:pPr>
    <w:rPr>
      <w:rFonts w:ascii="黑体" w:hAnsi="Times New Roman" w:eastAsia="黑体" w:cs="Times New Roman"/>
      <w:sz w:val="21"/>
      <w:szCs w:val="22"/>
      <w:lang w:val="en-US" w:eastAsia="zh-CN" w:bidi="ar-SA"/>
    </w:rPr>
  </w:style>
  <w:style w:type="paragraph" w:customStyle="1" w:styleId="25">
    <w:name w:val="段"/>
    <w:qFormat/>
    <w:uiPriority w:val="0"/>
    <w:pPr>
      <w:tabs>
        <w:tab w:val="center" w:pos="4201"/>
        <w:tab w:val="right" w:leader="dot" w:pos="9298"/>
      </w:tabs>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26">
    <w:name w:val="一级条标题"/>
    <w:next w:val="25"/>
    <w:qFormat/>
    <w:uiPriority w:val="0"/>
    <w:pPr>
      <w:numPr>
        <w:ilvl w:val="1"/>
        <w:numId w:val="3"/>
      </w:numPr>
      <w:spacing w:beforeLines="50" w:afterLines="50"/>
      <w:outlineLvl w:val="2"/>
    </w:pPr>
    <w:rPr>
      <w:rFonts w:ascii="黑体" w:hAnsi="Times New Roman" w:eastAsia="黑体" w:cs="Times New Roman"/>
      <w:sz w:val="21"/>
      <w:szCs w:val="21"/>
      <w:lang w:val="en-US" w:eastAsia="zh-CN" w:bidi="ar-SA"/>
    </w:rPr>
  </w:style>
  <w:style w:type="paragraph" w:customStyle="1" w:styleId="27">
    <w:name w:val="二级条标题"/>
    <w:basedOn w:val="26"/>
    <w:next w:val="25"/>
    <w:link w:val="52"/>
    <w:qFormat/>
    <w:uiPriority w:val="0"/>
    <w:pPr>
      <w:numPr>
        <w:ilvl w:val="2"/>
      </w:numPr>
      <w:spacing w:before="50" w:beforeLines="0" w:after="50" w:afterLines="0"/>
      <w:outlineLvl w:val="3"/>
    </w:pPr>
  </w:style>
  <w:style w:type="paragraph" w:customStyle="1" w:styleId="28">
    <w:name w:val="Default"/>
    <w:next w:val="7"/>
    <w:qFormat/>
    <w:uiPriority w:val="0"/>
    <w:pPr>
      <w:widowControl w:val="0"/>
      <w:autoSpaceDE w:val="0"/>
      <w:autoSpaceDN w:val="0"/>
      <w:adjustRightInd w:val="0"/>
    </w:pPr>
    <w:rPr>
      <w:rFonts w:ascii="宋体_x0003_...销." w:hAnsi="Times New Roman" w:eastAsia="宋体_x0003_...销." w:cs="宋体_x0003_...销."/>
      <w:color w:val="000000"/>
      <w:sz w:val="24"/>
      <w:szCs w:val="24"/>
      <w:lang w:val="en-US" w:eastAsia="zh-CN" w:bidi="ar-SA"/>
    </w:rPr>
  </w:style>
  <w:style w:type="paragraph" w:customStyle="1" w:styleId="29">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30">
    <w:name w:val="其他标准标志"/>
    <w:basedOn w:val="31"/>
    <w:qFormat/>
    <w:uiPriority w:val="0"/>
    <w:pPr>
      <w:framePr w:w="6101" w:vAnchor="page" w:hAnchor="page" w:x="4673" w:y="942"/>
    </w:pPr>
    <w:rPr>
      <w:w w:val="130"/>
    </w:rPr>
  </w:style>
  <w:style w:type="paragraph" w:customStyle="1" w:styleId="31">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32">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33">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34">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35">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szCs w:val="22"/>
      <w:lang w:val="en-US" w:eastAsia="zh-CN" w:bidi="ar-SA"/>
    </w:rPr>
  </w:style>
  <w:style w:type="paragraph" w:customStyle="1" w:styleId="36">
    <w:name w:val="封面标准英文名称"/>
    <w:basedOn w:val="35"/>
    <w:qFormat/>
    <w:uiPriority w:val="0"/>
    <w:pPr>
      <w:spacing w:before="370" w:line="400" w:lineRule="exact"/>
    </w:pPr>
    <w:rPr>
      <w:rFonts w:ascii="Times New Roman"/>
      <w:sz w:val="28"/>
      <w:szCs w:val="28"/>
    </w:rPr>
  </w:style>
  <w:style w:type="paragraph" w:customStyle="1" w:styleId="37">
    <w:name w:val="封面一致性程度标识"/>
    <w:basedOn w:val="36"/>
    <w:qFormat/>
    <w:uiPriority w:val="0"/>
    <w:pPr>
      <w:spacing w:before="440"/>
    </w:pPr>
    <w:rPr>
      <w:rFonts w:ascii="宋体" w:eastAsia="宋体"/>
    </w:rPr>
  </w:style>
  <w:style w:type="paragraph" w:customStyle="1" w:styleId="38">
    <w:name w:val="封面标准文稿类别"/>
    <w:basedOn w:val="37"/>
    <w:qFormat/>
    <w:uiPriority w:val="0"/>
    <w:pPr>
      <w:spacing w:after="160" w:line="240" w:lineRule="auto"/>
    </w:pPr>
    <w:rPr>
      <w:sz w:val="24"/>
    </w:rPr>
  </w:style>
  <w:style w:type="paragraph" w:customStyle="1" w:styleId="39">
    <w:name w:val="封面标准文稿编辑信息"/>
    <w:basedOn w:val="38"/>
    <w:qFormat/>
    <w:uiPriority w:val="0"/>
    <w:pPr>
      <w:spacing w:before="180" w:line="180" w:lineRule="exact"/>
    </w:pPr>
    <w:rPr>
      <w:sz w:val="21"/>
    </w:rPr>
  </w:style>
  <w:style w:type="paragraph" w:customStyle="1" w:styleId="40">
    <w:name w:val="其他发布日期"/>
    <w:basedOn w:val="41"/>
    <w:qFormat/>
    <w:uiPriority w:val="0"/>
    <w:pPr>
      <w:framePr w:vAnchor="page" w:hAnchor="text" w:x="1419"/>
    </w:pPr>
  </w:style>
  <w:style w:type="paragraph" w:customStyle="1" w:styleId="41">
    <w:name w:val="发布日期"/>
    <w:qFormat/>
    <w:uiPriority w:val="0"/>
    <w:pPr>
      <w:framePr w:w="3997" w:h="471" w:hRule="exact" w:vSpace="181" w:wrap="around" w:vAnchor="margin" w:hAnchor="page" w:x="7089" w:y="14097" w:anchorLock="1"/>
    </w:pPr>
    <w:rPr>
      <w:rFonts w:ascii="Times New Roman" w:hAnsi="Times New Roman" w:eastAsia="黑体" w:cs="Times New Roman"/>
      <w:sz w:val="28"/>
      <w:szCs w:val="22"/>
      <w:lang w:val="en-US" w:eastAsia="zh-CN" w:bidi="ar-SA"/>
    </w:rPr>
  </w:style>
  <w:style w:type="paragraph" w:customStyle="1" w:styleId="42">
    <w:name w:val="其他实施日期"/>
    <w:basedOn w:val="43"/>
    <w:qFormat/>
    <w:uiPriority w:val="0"/>
  </w:style>
  <w:style w:type="paragraph" w:customStyle="1" w:styleId="43">
    <w:name w:val="实施日期"/>
    <w:basedOn w:val="41"/>
    <w:qFormat/>
    <w:uiPriority w:val="0"/>
    <w:pPr>
      <w:framePr w:vAnchor="page" w:hAnchor="text"/>
      <w:jc w:val="right"/>
    </w:pPr>
  </w:style>
  <w:style w:type="paragraph" w:customStyle="1" w:styleId="44">
    <w:name w:val="其他发布部门"/>
    <w:basedOn w:val="45"/>
    <w:qFormat/>
    <w:uiPriority w:val="0"/>
    <w:pPr>
      <w:framePr w:y="15310"/>
      <w:spacing w:line="0" w:lineRule="atLeast"/>
    </w:pPr>
    <w:rPr>
      <w:rFonts w:ascii="黑体" w:eastAsia="黑体"/>
      <w:b w:val="0"/>
    </w:rPr>
  </w:style>
  <w:style w:type="paragraph" w:customStyle="1" w:styleId="45">
    <w:name w:val="发布部门"/>
    <w:next w:val="25"/>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szCs w:val="22"/>
      <w:lang w:val="en-US" w:eastAsia="zh-CN" w:bidi="ar-SA"/>
    </w:rPr>
  </w:style>
  <w:style w:type="character" w:customStyle="1" w:styleId="46">
    <w:name w:val="发布"/>
    <w:basedOn w:val="19"/>
    <w:qFormat/>
    <w:uiPriority w:val="0"/>
    <w:rPr>
      <w:rFonts w:ascii="黑体" w:eastAsia="黑体"/>
      <w:spacing w:val="85"/>
      <w:w w:val="100"/>
      <w:position w:val="3"/>
      <w:sz w:val="28"/>
      <w:szCs w:val="28"/>
    </w:rPr>
  </w:style>
  <w:style w:type="paragraph" w:customStyle="1" w:styleId="47">
    <w:name w:val="WPSOffice手动目录 1"/>
    <w:qFormat/>
    <w:uiPriority w:val="0"/>
    <w:rPr>
      <w:rFonts w:ascii="Times New Roman" w:hAnsi="Times New Roman" w:eastAsia="宋体" w:cs="Times New Roman"/>
      <w:sz w:val="21"/>
      <w:szCs w:val="22"/>
      <w:lang w:val="en-US" w:eastAsia="zh-CN" w:bidi="ar-SA"/>
    </w:rPr>
  </w:style>
  <w:style w:type="paragraph" w:customStyle="1" w:styleId="48">
    <w:name w:val="WPSOffice手动目录 2"/>
    <w:qFormat/>
    <w:uiPriority w:val="0"/>
    <w:pPr>
      <w:ind w:left="200" w:leftChars="200"/>
    </w:pPr>
    <w:rPr>
      <w:rFonts w:ascii="Times New Roman" w:hAnsi="Times New Roman" w:eastAsia="宋体" w:cs="Times New Roman"/>
      <w:sz w:val="21"/>
      <w:szCs w:val="22"/>
      <w:lang w:val="en-US" w:eastAsia="zh-CN" w:bidi="ar-SA"/>
    </w:rPr>
  </w:style>
  <w:style w:type="paragraph" w:customStyle="1" w:styleId="49">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50">
    <w:name w:val="参考文献"/>
    <w:basedOn w:val="1"/>
    <w:next w:val="25"/>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51">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52">
    <w:name w:val="二级条标题 Char"/>
    <w:link w:val="27"/>
    <w:qFormat/>
    <w:uiPriority w:val="0"/>
  </w:style>
  <w:style w:type="character" w:customStyle="1" w:styleId="53">
    <w:name w:val="批注框文本 Char"/>
    <w:basedOn w:val="19"/>
    <w:link w:val="11"/>
    <w:qFormat/>
    <w:uiPriority w:val="0"/>
    <w:rPr>
      <w:rFonts w:asciiTheme="minorHAnsi" w:hAnsiTheme="minorHAnsi" w:eastAsiaTheme="minorEastAsia" w:cstheme="minorBidi"/>
      <w:kern w:val="2"/>
      <w:sz w:val="18"/>
      <w:szCs w:val="18"/>
    </w:rPr>
  </w:style>
  <w:style w:type="table" w:customStyle="1" w:styleId="54">
    <w:name w:val="网格型1"/>
    <w:basedOn w:val="17"/>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55">
    <w:name w:val="List Paragraph"/>
    <w:basedOn w:val="1"/>
    <w:unhideWhenUsed/>
    <w:qFormat/>
    <w:uiPriority w:val="99"/>
    <w:pPr>
      <w:ind w:firstLine="420" w:firstLineChars="200"/>
    </w:pPr>
  </w:style>
  <w:style w:type="paragraph" w:customStyle="1" w:styleId="56">
    <w:name w:val="标准文件_注："/>
    <w:next w:val="57"/>
    <w:qFormat/>
    <w:uiPriority w:val="0"/>
    <w:pPr>
      <w:widowControl w:val="0"/>
      <w:numPr>
        <w:ilvl w:val="0"/>
        <w:numId w:val="4"/>
      </w:numPr>
      <w:autoSpaceDE w:val="0"/>
      <w:autoSpaceDN w:val="0"/>
      <w:jc w:val="both"/>
    </w:pPr>
    <w:rPr>
      <w:rFonts w:ascii="宋体" w:hAnsi="Times New Roman" w:eastAsia="宋体" w:cs="Times New Roman"/>
      <w:sz w:val="18"/>
      <w:szCs w:val="18"/>
      <w:lang w:val="en-US" w:eastAsia="zh-CN" w:bidi="ar-SA"/>
    </w:rPr>
  </w:style>
  <w:style w:type="paragraph" w:customStyle="1" w:styleId="57">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8">
    <w:name w:val="标准文件_字母编号列项（一级）"/>
    <w:qFormat/>
    <w:uiPriority w:val="0"/>
    <w:pPr>
      <w:numPr>
        <w:ilvl w:val="0"/>
        <w:numId w:val="5"/>
      </w:numPr>
      <w:jc w:val="both"/>
    </w:pPr>
    <w:rPr>
      <w:rFonts w:ascii="宋体" w:hAnsi="Times New Roman" w:eastAsia="宋体" w:cs="Times New Roman"/>
      <w:sz w:val="21"/>
      <w:lang w:val="en-US" w:eastAsia="zh-CN" w:bidi="ar-SA"/>
    </w:rPr>
  </w:style>
  <w:style w:type="paragraph" w:customStyle="1" w:styleId="59">
    <w:name w:val="标准文件_附录标识"/>
    <w:next w:val="57"/>
    <w:qFormat/>
    <w:uiPriority w:val="0"/>
    <w:pPr>
      <w:numPr>
        <w:ilvl w:val="0"/>
        <w:numId w:val="6"/>
      </w:numPr>
      <w:shd w:val="clear" w:color="FFFFFF" w:fill="FFFFFF"/>
      <w:tabs>
        <w:tab w:val="left" w:pos="6406"/>
      </w:tabs>
      <w:spacing w:before="25" w:beforeLines="25" w:after="50" w:afterLines="50"/>
      <w:jc w:val="center"/>
      <w:outlineLvl w:val="0"/>
    </w:pPr>
    <w:rPr>
      <w:rFonts w:ascii="黑体" w:hAnsi="Times New Roman" w:eastAsia="黑体" w:cs="Times New Roman"/>
      <w:sz w:val="21"/>
      <w:lang w:val="en-US" w:eastAsia="zh-CN" w:bidi="ar-SA"/>
    </w:rPr>
  </w:style>
  <w:style w:type="paragraph" w:customStyle="1" w:styleId="60">
    <w:name w:val="Table Paragraph"/>
    <w:basedOn w:val="1"/>
    <w:qFormat/>
    <w:uiPriority w:val="1"/>
    <w:pPr>
      <w:ind w:left="107"/>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header" Target="header1.xml"/><Relationship Id="rId29" Type="http://schemas.openxmlformats.org/officeDocument/2006/relationships/image" Target="media/image12.jpe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emf"/><Relationship Id="rId21" Type="http://schemas.openxmlformats.org/officeDocument/2006/relationships/image" Target="media/image4.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3.emf"/><Relationship Id="rId18" Type="http://schemas.openxmlformats.org/officeDocument/2006/relationships/oleObject" Target="embeddings/oleObject3.bin"/><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20011</Words>
  <Characters>25414</Characters>
  <Lines>98</Lines>
  <Paragraphs>27</Paragraphs>
  <TotalTime>85</TotalTime>
  <ScaleCrop>false</ScaleCrop>
  <LinksUpToDate>false</LinksUpToDate>
  <CharactersWithSpaces>25905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2019-09-06T03:09:00Z</dcterms:created>
  <dc:creator>赵金绍 3302037 医疗康复处</dc:creator>
  <cp:lastModifiedBy>admin/ZJSW</cp:lastModifiedBy>
  <cp:lastPrinted>2021-09-08T03:39:00Z</cp:lastPrinted>
  <dcterms:modified xsi:type="dcterms:W3CDTF">2022-10-27T01:15:31Z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5807DE37C2FD492EAD994FEC27F47110</vt:lpwstr>
  </property>
</Properties>
</file>