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AA" w:rsidRPr="00304FB9" w:rsidRDefault="00304FB9" w:rsidP="00304FB9">
      <w:pPr>
        <w:shd w:val="clear" w:color="auto" w:fill="FFFFFF"/>
        <w:jc w:val="left"/>
        <w:rPr>
          <w:rFonts w:ascii="黑体" w:eastAsia="黑体" w:hAnsi="黑体" w:cs="宋体" w:hint="eastAsia"/>
          <w:color w:val="222222"/>
          <w:kern w:val="0"/>
          <w:szCs w:val="32"/>
        </w:rPr>
      </w:pPr>
      <w:bookmarkStart w:id="0" w:name="_GoBack"/>
      <w:bookmarkEnd w:id="0"/>
      <w:r w:rsidRPr="00304FB9">
        <w:rPr>
          <w:rFonts w:ascii="黑体" w:eastAsia="黑体" w:hAnsi="黑体" w:cs="宋体" w:hint="eastAsia"/>
          <w:color w:val="222222"/>
          <w:kern w:val="0"/>
          <w:szCs w:val="32"/>
        </w:rPr>
        <w:t>附件</w:t>
      </w:r>
    </w:p>
    <w:p w:rsidR="00304FB9" w:rsidRPr="00304FB9" w:rsidRDefault="00304FB9" w:rsidP="00304FB9">
      <w:pPr>
        <w:shd w:val="clear" w:color="auto" w:fill="FFFFFF"/>
        <w:jc w:val="center"/>
        <w:rPr>
          <w:rFonts w:ascii="方正小标宋简体" w:eastAsia="方正小标宋简体" w:hAnsi="仿宋" w:cs="宋体" w:hint="eastAsia"/>
          <w:color w:val="222222"/>
          <w:kern w:val="0"/>
          <w:sz w:val="44"/>
          <w:szCs w:val="44"/>
        </w:rPr>
      </w:pPr>
      <w:r w:rsidRPr="00304FB9">
        <w:rPr>
          <w:rFonts w:ascii="方正小标宋简体" w:eastAsia="方正小标宋简体" w:hAnsi="仿宋" w:cs="宋体" w:hint="eastAsia"/>
          <w:color w:val="222222"/>
          <w:kern w:val="0"/>
          <w:sz w:val="44"/>
          <w:szCs w:val="44"/>
        </w:rPr>
        <w:t>2019件浙江省</w:t>
      </w:r>
      <w:r w:rsidRPr="00304FB9">
        <w:rPr>
          <w:rFonts w:ascii="方正小标宋简体" w:eastAsia="方正小标宋简体" w:hAnsi="仿宋" w:cs="宋体" w:hint="eastAsia"/>
          <w:color w:val="222222"/>
          <w:kern w:val="0"/>
          <w:sz w:val="44"/>
          <w:szCs w:val="44"/>
        </w:rPr>
        <w:t>拍卖企业参加公示情况</w:t>
      </w:r>
    </w:p>
    <w:p w:rsidR="00BB23AA" w:rsidRPr="00577A42" w:rsidRDefault="00496D04" w:rsidP="002D7B2C">
      <w:pPr>
        <w:shd w:val="clear" w:color="auto" w:fill="FFFFFF"/>
        <w:ind w:firstLine="482"/>
        <w:jc w:val="center"/>
        <w:rPr>
          <w:rFonts w:asciiTheme="majorEastAsia" w:eastAsiaTheme="majorEastAsia" w:hAnsiTheme="majorEastAsia" w:cs="宋体"/>
          <w:b/>
          <w:color w:val="222222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一、</w:t>
      </w:r>
      <w:r w:rsidR="00BB23AA" w:rsidRPr="00577A42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完成信息公示拍卖企业列表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6798"/>
      </w:tblGrid>
      <w:tr w:rsidR="00BB23AA" w:rsidRPr="002D7B2C" w:rsidTr="002D7B2C">
        <w:trPr>
          <w:trHeight w:val="397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地市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拍卖企业名称</w:t>
            </w:r>
          </w:p>
        </w:tc>
      </w:tr>
      <w:tr w:rsidR="00BB23AA" w:rsidRPr="002D7B2C" w:rsidTr="002D7B2C">
        <w:trPr>
          <w:trHeight w:val="102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杭州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</w:t>
            </w:r>
            <w:r w:rsidR="00F04C98" w:rsidRPr="002D7B2C">
              <w:rPr>
                <w:rFonts w:ascii="仿宋" w:hAnsi="仿宋" w:hint="eastAsia"/>
                <w:sz w:val="24"/>
                <w:szCs w:val="24"/>
              </w:rPr>
              <w:t>91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798" w:type="dxa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杭州市拍卖行有限公司、杭州资产拍卖有限公司、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杭州同兴拍卖有限公司、浙江省拍卖行有限公司、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浙江天恒拍卖有限公司、杭州佳联资产拍卖有限公司、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浙江方圆拍卖有限公司、杭州春江拍卖有限公司、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浙江汇通拍卖有限公司、浙江一通拍卖有限公司、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浙江佳宝拍卖有限公司、浙江嘉成拍卖有限公司、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浙江华凯拍卖有限公司、浙江耀江拍卖有限公司、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浙江华通拍卖有限公司、浙江阳光拍卖有限公司、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杭州产权拍卖有限公司、杭州永信拍卖行有限公司、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浙江萧然拍卖有限公司、浙江中财拍卖行有限公司、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皓翰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国际拍卖有限公司、浙江天平拍卖有限公司、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浙江天丰拍卖有限公司、浙江汇丰拍卖有限公司、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杭州天正拍卖有限公司、浙江亿嘉拍卖有限公司、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浙江宝利国际拍卖有限公司、浙江恒腾拍卖有限公司、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浙江华业拍卖有限公司、浙江丽泽拍卖有限公司、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浙江隆安拍卖有限公司、浙江明泰拍卖有限公司、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浙江华鼎拍卖有限公司、浙江博源拍卖有限公司、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浙江永健拍卖有限公司、浙江广润拍卖有限公司、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浙江骏成拍卖有限公司、浙江长乐拍卖有限公司、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浙江兴隆盛拍卖有限公司、浙江文华拍卖有限公司、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浙江美术传媒拍卖有限公司、杭州正大资产拍卖有限公司、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杭州康城拍卖有限公司、杭州天目拍卖有限公司、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浙江永盛拍卖有限公司、浙江省省直拍卖行、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浙江百士德拍卖有限公司、浙江浙商拍卖有限公司、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西泠印社拍卖有限公司、浙江机动车拍卖中心有限责任公司、浙江大地拍卖有限公司、浙江南北拍卖有限公司、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杭州天工艺苑拍卖有限公司、浙江圣大拍卖有限公司、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浙江旺朝拍卖有限公司、浙江昌利拍卖有限公司、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浙江康立拍卖有限公司、中国茶叶拍卖交易服务有限公司、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杭州留青拍卖有限公司、杭州金瑞拍卖有限公司、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浙江六通拍卖有限公司、杭州开源拍卖有限公司、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浙江嘉丰拍卖有限公司、杭州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微拍堂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杭州嘉润拍卖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有限公司、浙江嘉富德拍卖有限公司、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浙江东驰拍卖有限公司、浙江佰诚拍卖有限公司、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杭州丰和拍卖有限公司、浙江东方泰拍卖有限公司、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浙江万鎏拍卖有限公司、浙江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百业呈财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lastRenderedPageBreak/>
              <w:t>杭州宜和拍卖有限公司、浙江世贸拍卖中心有限公司、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杭州信如拍卖有限公司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浙江中利拍卖行有限公司、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浙江其利拍卖有限公司、浙江嘉浩拍卖有限公司、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浙江信雅达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拍卖有限公司、浙江兰亭拍卖有限公司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杭州茗华拍卖</w:t>
            </w:r>
            <w:proofErr w:type="gramEnd"/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有限公司、</w:t>
            </w:r>
            <w:proofErr w:type="gramStart"/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杭州优车拍卖</w:t>
            </w:r>
            <w:proofErr w:type="gramEnd"/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浙江寻宝拍卖有限公司、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浙江国际商品拍卖中心有限责任公司</w:t>
            </w:r>
          </w:p>
          <w:p w:rsidR="00F04C98" w:rsidRPr="002D7B2C" w:rsidRDefault="00F04C98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/>
                <w:sz w:val="24"/>
                <w:szCs w:val="24"/>
              </w:rPr>
              <w:t>浙江心选拍卖有限公司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  <w:r w:rsidRPr="002D7B2C">
              <w:rPr>
                <w:rFonts w:ascii="仿宋" w:hAnsi="仿宋"/>
                <w:sz w:val="24"/>
                <w:szCs w:val="24"/>
              </w:rPr>
              <w:t>浙江时代拍卖有限公司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</w:p>
          <w:p w:rsidR="00F04C98" w:rsidRPr="002D7B2C" w:rsidRDefault="00F04C98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/>
                <w:sz w:val="24"/>
                <w:szCs w:val="24"/>
              </w:rPr>
              <w:t>杭州永明拍卖有限公司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  <w:r w:rsidRPr="002D7B2C">
              <w:rPr>
                <w:rFonts w:ascii="仿宋" w:hAnsi="仿宋"/>
                <w:sz w:val="24"/>
                <w:szCs w:val="24"/>
              </w:rPr>
              <w:t>杭州有朋拍卖有限公司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</w:p>
          <w:p w:rsidR="00F04C98" w:rsidRPr="002D7B2C" w:rsidRDefault="00F04C98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/>
                <w:sz w:val="24"/>
                <w:szCs w:val="24"/>
              </w:rPr>
              <w:t>浙江诚易拍卖有限公司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  <w:r w:rsidRPr="002D7B2C">
              <w:rPr>
                <w:rFonts w:ascii="仿宋" w:hAnsi="仿宋"/>
                <w:sz w:val="24"/>
                <w:szCs w:val="24"/>
              </w:rPr>
              <w:t>浙江嘉和拍卖有限责任公司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</w:p>
          <w:p w:rsidR="00F04C98" w:rsidRPr="002D7B2C" w:rsidRDefault="00F04C98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/>
                <w:sz w:val="24"/>
                <w:szCs w:val="24"/>
              </w:rPr>
              <w:t>浙江尚亿拍卖有限公司</w:t>
            </w:r>
          </w:p>
        </w:tc>
      </w:tr>
      <w:tr w:rsidR="002D7B2C" w:rsidRPr="002D7B2C" w:rsidTr="002D7B2C">
        <w:trPr>
          <w:trHeight w:val="102"/>
          <w:jc w:val="center"/>
        </w:trPr>
        <w:tc>
          <w:tcPr>
            <w:tcW w:w="1226" w:type="dxa"/>
            <w:vAlign w:val="center"/>
          </w:tcPr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lastRenderedPageBreak/>
              <w:t>宁波</w:t>
            </w:r>
          </w:p>
          <w:p w:rsidR="002D7B2C" w:rsidRPr="002D7B2C" w:rsidRDefault="002D7B2C" w:rsidP="002D7B2C">
            <w:pPr>
              <w:snapToGrid w:val="0"/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（42）</w:t>
            </w:r>
          </w:p>
        </w:tc>
        <w:tc>
          <w:tcPr>
            <w:tcW w:w="6798" w:type="dxa"/>
          </w:tcPr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宁波华诚拍卖有限公司、宁波亚德拍卖有限公司、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宁波精华拍卖有限公司、宁波阳明拍卖有限公司、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宁波诚亿拍卖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有限公司、浙江天一拍卖有限公司、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浙江三江拍卖有限公司、浙江华夏拍卖有限公司、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宁波市锦和拍卖有限公司、浙江鸿嘉拍卖有限公司、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市六禾拍卖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浙江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艺海拍卖有限公司、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宁波佳和拍卖有限公司、宁波市明州拍卖有限公司、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鑫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成拍卖有限公司、浙江金诚拍卖有限公司、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浙江万江拍卖有限公司、宁波市产权拍卖有限公司、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宁波华兴拍卖有限公司、宁波华谊拍卖有限公司、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宁波江南拍卖有限公司、浙江亿宝拍卖有限公司、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宁波永为拍卖有限公司、宁波宝盈拍卖有限公司、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宁波富邦拍卖有限公司、浙江民和拍卖有限公司、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浙江科创拍卖有限公司、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宁波允公拍卖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常信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拍卖有限公司、宁波市隆嘉拍卖有限公司、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宁波市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鄞州佰信拍卖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有限公司、浙江东诚拍卖有限公司、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宁波宝弈拍卖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有限公司、宁波尹天拍卖有限公司、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宁波富联拍卖有限公司、宁波国信拍卖有限公司、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宁波远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邦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拍卖有限公司、宁波正大拍卖有限责任公司、</w:t>
            </w:r>
          </w:p>
          <w:p w:rsidR="002D7B2C" w:rsidRPr="002D7B2C" w:rsidRDefault="002D7B2C" w:rsidP="002D7B2C">
            <w:pPr>
              <w:widowControl w:val="0"/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御林司传奇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拍卖行有限公司、宁波一方拍卖有限公司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2D7B2C" w:rsidRPr="002D7B2C" w:rsidRDefault="002D7B2C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宁波青腾拍卖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/>
                <w:sz w:val="24"/>
                <w:szCs w:val="24"/>
              </w:rPr>
              <w:t>宁波鸿运拍卖有限公司</w:t>
            </w:r>
          </w:p>
        </w:tc>
      </w:tr>
      <w:tr w:rsidR="00BB23AA" w:rsidRPr="002D7B2C" w:rsidTr="002C00BC">
        <w:trPr>
          <w:trHeight w:val="416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温州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（25）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温州市乐清拍卖有限公司、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温州华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温州市龙湾区拍卖行有限公司、温州市恒大拍卖行有限公司、温州宏正拍卖有限公司、温州拍卖行有限公司、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温州开诚拍卖有限公司、温州产权交易拍卖行有限公司、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温州市华丰拍卖有限公司、温州融和拍卖有限公司、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温州市佳得拍卖有限公司、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温州市金益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温州市浙南拍卖有限公司、温州市永佳拍卖有限公司、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温州市嘉诚拍卖有限公司、温州汇丰拍卖行有限公司、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温州洞头拍卖行、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温州市天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温州八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方拍卖有限公司、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温州市国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信拍卖行有限公司、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温州市谷典拍卖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有限公司、温州中天拍卖有限公司、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温州众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鑫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拍卖有限公司、温州中正拍卖有限公司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lastRenderedPageBreak/>
              <w:t>温州中榜拍卖有限公司</w:t>
            </w:r>
          </w:p>
        </w:tc>
      </w:tr>
      <w:tr w:rsidR="00BB23AA" w:rsidRPr="002D7B2C" w:rsidTr="002D7B2C">
        <w:trPr>
          <w:trHeight w:val="102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lastRenderedPageBreak/>
              <w:t>嘉兴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（19）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海宁市嘉泰拍卖有限公司、嘉兴市嘉诚拍卖有限公司、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嘉兴市金平拍卖有限公司、嘉兴市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鑫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茂拍卖有限公司、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浙江勺园拍卖有限公司、嘉兴市正源拍卖有限责任公司、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嘉兴市佳得拍卖有限公司、嘉兴市物资拍卖有限公司、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嘉兴市正联产权拍卖有限公司、嘉兴市百汇拍卖有限公司、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嘉兴市嘉丰拍卖有限公司、嘉兴市南湖拍卖有限公司、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嘉兴东方拍卖有限公司、嘉兴市吴越拍卖有限公司、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嘉兴诚欣拍卖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有限公司、嘉兴市鼎新拍卖有限公司、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嘉兴市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凯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盛拍卖有限公司、嘉兴市恒通拍卖行有限公司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浙江拍拍乐拍卖有限公司</w:t>
            </w:r>
          </w:p>
        </w:tc>
      </w:tr>
      <w:tr w:rsidR="00BB23AA" w:rsidRPr="002D7B2C" w:rsidTr="002D7B2C">
        <w:trPr>
          <w:trHeight w:val="1331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湖州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（10）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湖州安吉拍卖有限责任公司、湖州莫干山拍卖有限公司、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湖州信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华拍卖有限责任公司、浙江万信拍卖有限责任公司、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浙江联合拍卖有限公司、湖州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晟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昌行产权交易拍卖有限公司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湖州浙北拍卖行有限公司、湖州昆仑拍卖有限公司、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浙江口令拍卖有限公司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湖州玖鼎拍卖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</w:t>
            </w:r>
          </w:p>
        </w:tc>
      </w:tr>
      <w:tr w:rsidR="00BB23AA" w:rsidRPr="002D7B2C" w:rsidTr="002D7B2C">
        <w:trPr>
          <w:trHeight w:val="698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绍兴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（19）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绍兴中国轻纺城拍卖有限公司、绍兴致诚拍卖有限公司、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浙江盛世拍卖有限公司、绍兴中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晟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绍兴市汇丰拍卖有限公司、浙江新中大拍卖有限公司、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绍兴市越洲拍卖有限公司、绍兴市拍卖中心有限责任公司、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绍兴市同济拍卖有限公司、绍兴市拍卖商行有限责任公司、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绍兴中兴拍卖有限公司、绍兴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翰越堂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绍兴市正和拍卖有限公司、绍兴虞舜拍卖有限公司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梓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德拍卖有限公司、西泠印社(绍兴)拍卖有限公司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绍兴市茂源拍卖有限公司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绍兴国海拍卖有限公司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/>
                <w:sz w:val="24"/>
                <w:szCs w:val="24"/>
              </w:rPr>
              <w:t>绍兴市</w:t>
            </w:r>
            <w:proofErr w:type="gramStart"/>
            <w:r w:rsidRPr="002D7B2C">
              <w:rPr>
                <w:rFonts w:ascii="仿宋" w:hAnsi="仿宋"/>
                <w:sz w:val="24"/>
                <w:szCs w:val="24"/>
              </w:rPr>
              <w:t>世</w:t>
            </w:r>
            <w:proofErr w:type="gramEnd"/>
            <w:r w:rsidRPr="002D7B2C">
              <w:rPr>
                <w:rFonts w:ascii="仿宋" w:hAnsi="仿宋"/>
                <w:sz w:val="24"/>
                <w:szCs w:val="24"/>
              </w:rPr>
              <w:t>博拍卖有限公司</w:t>
            </w:r>
            <w:r w:rsidRPr="002D7B2C">
              <w:rPr>
                <w:rFonts w:ascii="仿宋" w:hAnsi="仿宋" w:hint="eastAsia"/>
                <w:sz w:val="24"/>
                <w:szCs w:val="24"/>
              </w:rPr>
              <w:t>、</w:t>
            </w:r>
          </w:p>
        </w:tc>
      </w:tr>
      <w:tr w:rsidR="00BB23AA" w:rsidRPr="002D7B2C" w:rsidTr="002D7B2C">
        <w:trPr>
          <w:trHeight w:val="102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金华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（27）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浙江横店拍卖有限公司、浙江诚泰拍卖有限责任公司、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金华市正得拍卖有限公司、金华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市盛泰拍卖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金华市信天拍卖有限公司、金华市浙中拍卖有限责任公司、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金华市正泰拍卖有限公司、金华市浦发拍卖有限公司、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金华市宝丰拍卖有限公司、金华市拍卖有限公司、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金华市武阳拍卖有限公司、义乌一通拍卖有限公司、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金华一通拍卖有限公司、金华市金穗拍卖有限公司、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浙江成龙拍卖有限公司、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金华义产拍卖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祥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泰拍卖有限公司、浙江省东阳市光大拍卖有限公司、金华东宇拍卖有限公司、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金华金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信拍卖有限责任公司、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浙江融华拍卖有限公司、金华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华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浙江省金华市华元拍卖有限公司、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浙江存古堂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浙江大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雅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金华市东龙拍卖有限公司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浙江鼎盛拍卖有限公司</w:t>
            </w:r>
          </w:p>
        </w:tc>
      </w:tr>
      <w:tr w:rsidR="00BB23AA" w:rsidRPr="002D7B2C" w:rsidTr="002D7B2C">
        <w:trPr>
          <w:trHeight w:val="1601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lastRenderedPageBreak/>
              <w:t>衢州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（12）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浙江省广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衢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拍卖有限公司、衢州中金拍卖有限公司、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浙江中鼎拍卖有限公司、衢州市诚信拍卖有限公司、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浙江柯山拍卖有限公司、衢州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沅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浙江嘉泰拍卖有限公司、浙江银典拍卖有限公司、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衢州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市弘宝拍卖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有限公司、衢州金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衢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浙江中易拍卖有限公司、浙江宝汇拍卖有限公司</w:t>
            </w:r>
          </w:p>
        </w:tc>
      </w:tr>
      <w:tr w:rsidR="00BB23AA" w:rsidRPr="002D7B2C" w:rsidTr="002D7B2C">
        <w:trPr>
          <w:trHeight w:val="1401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舟山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（10）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舟山市嘉联拍卖有限公司、舟山市华力拍卖有限责任公司、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舟山天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诚拍卖有限公司、舟山市公信拍卖有限责任公司、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舟山易舸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船舶拍卖有限公司、浙江景福艺术品拍卖有限公司、云集拍卖有限公司、舟山方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臻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舟山市嘉德拍卖有限公司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浙江胜蓝拍卖有限公司</w:t>
            </w:r>
          </w:p>
        </w:tc>
      </w:tr>
      <w:tr w:rsidR="00BB23AA" w:rsidRPr="002D7B2C" w:rsidTr="002D7B2C">
        <w:trPr>
          <w:trHeight w:val="2917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台州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（21）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台州市永宁拍卖有限公司、台州市黄岩宏润拍卖有限公司、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市永卓拍卖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有限公司、台州市泓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鑫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台州市曙光拍卖有限公司、浙江城乡拍卖有限公司、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台州市平利拍卖有限公司、台州市椒江拍卖行、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台州市新世纪拍卖有限公司、台州市始丰拍卖有限公司、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浙江银合拍卖有限公司、台州市金锤拍卖有限公司、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浙江双赢拍卖有限公司、浙江力新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邦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德拍卖有限公司、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浙江时间拍卖有限公司、台州市金环拍卖有限公司、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台州市浙东拍卖有限公司、台州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市立信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台州市拍卖有限公司、浙江御藏阁拍卖有限公司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台州市信良拍卖有限公司</w:t>
            </w:r>
          </w:p>
        </w:tc>
      </w:tr>
      <w:tr w:rsidR="00BB23AA" w:rsidRPr="002D7B2C" w:rsidTr="002D7B2C">
        <w:trPr>
          <w:trHeight w:val="415"/>
          <w:jc w:val="center"/>
        </w:trPr>
        <w:tc>
          <w:tcPr>
            <w:tcW w:w="122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丽水</w:t>
            </w:r>
          </w:p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（9）</w:t>
            </w:r>
          </w:p>
        </w:tc>
        <w:tc>
          <w:tcPr>
            <w:tcW w:w="6798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浙江山水拍卖有限公司、丽水市元丰拍卖有限公司、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丽水汇泰资产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拍卖有限公司、丽水市嘉泰拍卖有限公司、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丽水市德鸿拍卖有限公司、丽水市联合拍卖有限公司、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丽水路通拍卖有限公司、浙江财频拍卖有限公司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2D7B2C">
              <w:rPr>
                <w:rFonts w:ascii="仿宋" w:hAnsi="仿宋" w:hint="eastAsia"/>
                <w:sz w:val="24"/>
                <w:szCs w:val="24"/>
              </w:rPr>
              <w:t>丽水市阳光拍卖有限公司</w:t>
            </w:r>
          </w:p>
        </w:tc>
      </w:tr>
    </w:tbl>
    <w:p w:rsidR="002D7B2C" w:rsidRDefault="002D7B2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2C00BC" w:rsidRDefault="002C00B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BB23AA" w:rsidRPr="00577A42" w:rsidRDefault="00496D04" w:rsidP="00BB23AA">
      <w:pPr>
        <w:shd w:val="clear" w:color="auto" w:fill="FFFFFF"/>
        <w:jc w:val="center"/>
        <w:rPr>
          <w:rFonts w:asciiTheme="majorEastAsia" w:eastAsiaTheme="majorEastAsia" w:hAnsiTheme="majorEastAsia" w:cs="宋体"/>
          <w:b/>
          <w:color w:val="222222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lastRenderedPageBreak/>
        <w:t>二、</w:t>
      </w:r>
      <w:r w:rsidR="00BB23AA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未参加</w:t>
      </w:r>
      <w:r w:rsidR="00BB23AA" w:rsidRPr="00577A42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信息公示拍卖企业列表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6582"/>
      </w:tblGrid>
      <w:tr w:rsidR="00BB23AA" w:rsidRPr="00577A42" w:rsidTr="002D7B2C">
        <w:trPr>
          <w:trHeight w:val="347"/>
          <w:jc w:val="center"/>
        </w:trPr>
        <w:tc>
          <w:tcPr>
            <w:tcW w:w="118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地市</w:t>
            </w:r>
          </w:p>
        </w:tc>
        <w:tc>
          <w:tcPr>
            <w:tcW w:w="6582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拍卖企业名称</w:t>
            </w:r>
          </w:p>
        </w:tc>
      </w:tr>
      <w:tr w:rsidR="00BB23AA" w:rsidRPr="00577A42" w:rsidTr="002D7B2C">
        <w:trPr>
          <w:trHeight w:val="2000"/>
          <w:jc w:val="center"/>
        </w:trPr>
        <w:tc>
          <w:tcPr>
            <w:tcW w:w="118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杭州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（</w:t>
            </w:r>
            <w:r w:rsidR="00F04C98"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14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）</w:t>
            </w:r>
          </w:p>
        </w:tc>
        <w:tc>
          <w:tcPr>
            <w:tcW w:w="6582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浙江万邦拍卖有限公司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浙江天合拍卖有限公司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浙江桂城拍卖有限公司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浙江镇远拍卖有限责任公司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浙江光大拍卖有限公司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浙江天盛拍卖有限公司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F04C98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浙江中信拍卖有限公司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="00F04C98"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浙江嘉禾拍卖有限公司</w:t>
            </w:r>
            <w:r w:rsidR="00F04C98"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F04C98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杭州如愿拍卖有限公司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杭州德龙拍卖有限公司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杭州爱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名拍卖有限公司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="00F04C98"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杭州古今拍卖有限公司</w:t>
            </w:r>
            <w:r w:rsidR="00F04C98"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杭州艺享拍卖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浙江骏纬拍卖有限公司</w:t>
            </w:r>
          </w:p>
        </w:tc>
      </w:tr>
      <w:tr w:rsidR="00BB23AA" w:rsidRPr="00577A42" w:rsidTr="002D7B2C">
        <w:trPr>
          <w:trHeight w:val="1035"/>
          <w:jc w:val="center"/>
        </w:trPr>
        <w:tc>
          <w:tcPr>
            <w:tcW w:w="118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宁波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（</w:t>
            </w:r>
            <w:r w:rsidR="00F04C98"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7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）</w:t>
            </w:r>
          </w:p>
        </w:tc>
        <w:tc>
          <w:tcPr>
            <w:tcW w:w="6582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宁波新东方泰拍卖有限公司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="00F04C98"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浙江经典拍卖有限公司</w:t>
            </w:r>
            <w:r w:rsidR="00F04C98"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宁波金桥拍卖有限公司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宁波市万事可拍卖有限公司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F04C98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宁波市中正拍卖有限公司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珏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周懿拍卖有限公司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浙江中孚拍卖有限公司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</w:tc>
      </w:tr>
      <w:tr w:rsidR="00BB23AA" w:rsidRPr="00577A42" w:rsidTr="002D7B2C">
        <w:trPr>
          <w:trHeight w:val="322"/>
          <w:jc w:val="center"/>
        </w:trPr>
        <w:tc>
          <w:tcPr>
            <w:tcW w:w="118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温州（2）</w:t>
            </w:r>
          </w:p>
        </w:tc>
        <w:tc>
          <w:tcPr>
            <w:tcW w:w="6582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温州开通拍卖有限公司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温州市汇金拍卖行有限公司</w:t>
            </w:r>
          </w:p>
        </w:tc>
      </w:tr>
      <w:tr w:rsidR="00BB23AA" w:rsidRPr="00577A42" w:rsidTr="002D7B2C">
        <w:trPr>
          <w:trHeight w:val="322"/>
          <w:jc w:val="center"/>
        </w:trPr>
        <w:tc>
          <w:tcPr>
            <w:tcW w:w="118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绍兴（1）</w:t>
            </w:r>
          </w:p>
        </w:tc>
        <w:tc>
          <w:tcPr>
            <w:tcW w:w="6582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浙江恒信拍卖有限公司</w:t>
            </w:r>
          </w:p>
        </w:tc>
      </w:tr>
    </w:tbl>
    <w:p w:rsidR="00496D04" w:rsidRDefault="00496D04" w:rsidP="00496D04">
      <w:pPr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496D04" w:rsidRPr="00577A42" w:rsidRDefault="00496D04" w:rsidP="00496D04">
      <w:pPr>
        <w:jc w:val="center"/>
        <w:rPr>
          <w:rFonts w:asciiTheme="majorEastAsia" w:eastAsiaTheme="majorEastAsia" w:hAnsiTheme="majorEastAsia" w:cs="宋体"/>
          <w:b/>
          <w:color w:val="222222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三、</w:t>
      </w:r>
      <w:r w:rsidRPr="00753903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连续两年未参加公示拟注销拍卖业务许可企业列表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6367"/>
      </w:tblGrid>
      <w:tr w:rsidR="00496D04" w:rsidRPr="00577A42" w:rsidTr="000E56BB">
        <w:trPr>
          <w:trHeight w:val="581"/>
          <w:jc w:val="center"/>
        </w:trPr>
        <w:tc>
          <w:tcPr>
            <w:tcW w:w="114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地市</w:t>
            </w:r>
          </w:p>
        </w:tc>
        <w:tc>
          <w:tcPr>
            <w:tcW w:w="636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拍卖企业名称</w:t>
            </w:r>
          </w:p>
        </w:tc>
      </w:tr>
      <w:tr w:rsidR="00496D04" w:rsidRPr="00577A42" w:rsidTr="000E56BB">
        <w:trPr>
          <w:trHeight w:val="1292"/>
          <w:jc w:val="center"/>
        </w:trPr>
        <w:tc>
          <w:tcPr>
            <w:tcW w:w="114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杭州（6）</w:t>
            </w:r>
          </w:p>
        </w:tc>
        <w:tc>
          <w:tcPr>
            <w:tcW w:w="636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浙江天合拍卖有限公司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浙江天盛拍卖有限公司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496D04" w:rsidRPr="002D7B2C" w:rsidRDefault="00496D04" w:rsidP="000E56BB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浙江中信拍卖有限公司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proofErr w:type="gramStart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杭州爱</w:t>
            </w:r>
            <w:proofErr w:type="gramEnd"/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名拍卖有限公司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</w:p>
          <w:p w:rsidR="00496D04" w:rsidRPr="002D7B2C" w:rsidRDefault="00496D04" w:rsidP="000E56BB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杭州古今拍卖有限公司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浙江镇远拍卖有限责任公司</w:t>
            </w:r>
          </w:p>
        </w:tc>
      </w:tr>
      <w:tr w:rsidR="00496D04" w:rsidRPr="00577A42" w:rsidTr="000E56BB">
        <w:trPr>
          <w:trHeight w:val="435"/>
          <w:jc w:val="center"/>
        </w:trPr>
        <w:tc>
          <w:tcPr>
            <w:tcW w:w="114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绍兴（1）</w:t>
            </w:r>
          </w:p>
        </w:tc>
        <w:tc>
          <w:tcPr>
            <w:tcW w:w="6367" w:type="dxa"/>
            <w:vAlign w:val="center"/>
          </w:tcPr>
          <w:p w:rsidR="00496D04" w:rsidRPr="002D7B2C" w:rsidRDefault="00496D04" w:rsidP="000E56BB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浙江恒信拍卖有限公司</w:t>
            </w:r>
          </w:p>
        </w:tc>
      </w:tr>
    </w:tbl>
    <w:p w:rsidR="002D7B2C" w:rsidRDefault="002D7B2C" w:rsidP="00BB23AA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</w:pPr>
    </w:p>
    <w:p w:rsidR="00BB23AA" w:rsidRPr="00577A42" w:rsidRDefault="00496D04" w:rsidP="00BB23AA">
      <w:pPr>
        <w:shd w:val="clear" w:color="auto" w:fill="FFFFFF"/>
        <w:jc w:val="center"/>
        <w:rPr>
          <w:rFonts w:asciiTheme="majorEastAsia" w:eastAsiaTheme="majorEastAsia" w:hAnsiTheme="majorEastAsia" w:cs="宋体"/>
          <w:b/>
          <w:color w:val="222222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四、</w:t>
      </w:r>
      <w:r w:rsidR="00BB23AA">
        <w:rPr>
          <w:rFonts w:asciiTheme="majorEastAsia" w:eastAsiaTheme="majorEastAsia" w:hAnsiTheme="majorEastAsia" w:cs="宋体" w:hint="eastAsia"/>
          <w:b/>
          <w:color w:val="222222"/>
          <w:kern w:val="0"/>
          <w:sz w:val="36"/>
          <w:szCs w:val="36"/>
        </w:rPr>
        <w:t>已注销拍卖企业列表</w:t>
      </w:r>
    </w:p>
    <w:tbl>
      <w:tblPr>
        <w:tblStyle w:val="a3"/>
        <w:tblW w:w="7797" w:type="dxa"/>
        <w:jc w:val="center"/>
        <w:tblLook w:val="04A0" w:firstRow="1" w:lastRow="0" w:firstColumn="1" w:lastColumn="0" w:noHBand="0" w:noVBand="1"/>
      </w:tblPr>
      <w:tblGrid>
        <w:gridCol w:w="1191"/>
        <w:gridCol w:w="6606"/>
      </w:tblGrid>
      <w:tr w:rsidR="00BB23AA" w:rsidRPr="00577A42" w:rsidTr="002D7B2C">
        <w:trPr>
          <w:trHeight w:val="335"/>
          <w:jc w:val="center"/>
        </w:trPr>
        <w:tc>
          <w:tcPr>
            <w:tcW w:w="1191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地市</w:t>
            </w:r>
          </w:p>
        </w:tc>
        <w:tc>
          <w:tcPr>
            <w:tcW w:w="660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jc w:val="center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拍卖企业名称</w:t>
            </w:r>
          </w:p>
        </w:tc>
      </w:tr>
      <w:tr w:rsidR="00BB23AA" w:rsidRPr="00577A42" w:rsidTr="002D7B2C">
        <w:trPr>
          <w:trHeight w:val="364"/>
          <w:jc w:val="center"/>
        </w:trPr>
        <w:tc>
          <w:tcPr>
            <w:tcW w:w="1191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（2）</w:t>
            </w:r>
          </w:p>
        </w:tc>
        <w:tc>
          <w:tcPr>
            <w:tcW w:w="660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杭州天缘拍卖有限公司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、</w:t>
            </w: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浙江永瑞拍卖有限公司</w:t>
            </w:r>
          </w:p>
        </w:tc>
      </w:tr>
      <w:tr w:rsidR="00BB23AA" w:rsidRPr="00577A42" w:rsidTr="002D7B2C">
        <w:trPr>
          <w:trHeight w:val="327"/>
          <w:jc w:val="center"/>
        </w:trPr>
        <w:tc>
          <w:tcPr>
            <w:tcW w:w="1191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丽水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（1）</w:t>
            </w:r>
          </w:p>
        </w:tc>
        <w:tc>
          <w:tcPr>
            <w:tcW w:w="660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丽水市新世纪拍卖有限公司</w:t>
            </w:r>
          </w:p>
        </w:tc>
      </w:tr>
      <w:tr w:rsidR="00BB23AA" w:rsidRPr="00577A42" w:rsidTr="002D7B2C">
        <w:trPr>
          <w:trHeight w:val="309"/>
          <w:jc w:val="center"/>
        </w:trPr>
        <w:tc>
          <w:tcPr>
            <w:tcW w:w="1191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衢州</w:t>
            </w:r>
            <w:r w:rsidRPr="002D7B2C">
              <w:rPr>
                <w:rFonts w:ascii="仿宋" w:hAnsi="仿宋" w:cs="宋体" w:hint="eastAsia"/>
                <w:color w:val="222222"/>
                <w:kern w:val="0"/>
                <w:sz w:val="24"/>
                <w:szCs w:val="24"/>
              </w:rPr>
              <w:t>（1）</w:t>
            </w:r>
          </w:p>
        </w:tc>
        <w:tc>
          <w:tcPr>
            <w:tcW w:w="6606" w:type="dxa"/>
            <w:vAlign w:val="center"/>
          </w:tcPr>
          <w:p w:rsidR="00BB23AA" w:rsidRPr="002D7B2C" w:rsidRDefault="00BB23AA" w:rsidP="002D7B2C">
            <w:pPr>
              <w:snapToGrid w:val="0"/>
              <w:spacing w:line="240" w:lineRule="auto"/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</w:pPr>
            <w:r w:rsidRPr="002D7B2C">
              <w:rPr>
                <w:rFonts w:ascii="仿宋" w:hAnsi="仿宋" w:cs="宋体"/>
                <w:color w:val="222222"/>
                <w:kern w:val="0"/>
                <w:sz w:val="24"/>
                <w:szCs w:val="24"/>
              </w:rPr>
              <w:t>浙江衢州嘉汇拍卖有限公司</w:t>
            </w:r>
          </w:p>
        </w:tc>
      </w:tr>
    </w:tbl>
    <w:p w:rsidR="00DE5BB1" w:rsidRPr="00BB23AA" w:rsidRDefault="00DE5BB1" w:rsidP="009E5490">
      <w:pPr>
        <w:snapToGrid w:val="0"/>
        <w:spacing w:line="20" w:lineRule="exact"/>
        <w:jc w:val="center"/>
      </w:pPr>
    </w:p>
    <w:sectPr w:rsidR="00DE5BB1" w:rsidRPr="00BB23AA" w:rsidSect="002D7B2C">
      <w:pgSz w:w="11906" w:h="16838"/>
      <w:pgMar w:top="1985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6" w:rsidRDefault="00041236" w:rsidP="002D7B2C">
      <w:pPr>
        <w:spacing w:line="240" w:lineRule="auto"/>
      </w:pPr>
      <w:r>
        <w:separator/>
      </w:r>
    </w:p>
  </w:endnote>
  <w:endnote w:type="continuationSeparator" w:id="0">
    <w:p w:rsidR="00041236" w:rsidRDefault="00041236" w:rsidP="002D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6" w:rsidRDefault="00041236" w:rsidP="002D7B2C">
      <w:pPr>
        <w:spacing w:line="240" w:lineRule="auto"/>
      </w:pPr>
      <w:r>
        <w:separator/>
      </w:r>
    </w:p>
  </w:footnote>
  <w:footnote w:type="continuationSeparator" w:id="0">
    <w:p w:rsidR="00041236" w:rsidRDefault="00041236" w:rsidP="002D7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A"/>
    <w:rsid w:val="00041236"/>
    <w:rsid w:val="00116378"/>
    <w:rsid w:val="002564DE"/>
    <w:rsid w:val="002C00BC"/>
    <w:rsid w:val="002D7B2C"/>
    <w:rsid w:val="00304FB9"/>
    <w:rsid w:val="00496D04"/>
    <w:rsid w:val="00560211"/>
    <w:rsid w:val="005E0BF4"/>
    <w:rsid w:val="00927564"/>
    <w:rsid w:val="009E5490"/>
    <w:rsid w:val="00BB23AA"/>
    <w:rsid w:val="00DE5BB1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A"/>
    <w:pPr>
      <w:spacing w:line="560" w:lineRule="exact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AA"/>
    <w:pPr>
      <w:jc w:val="both"/>
    </w:pPr>
    <w:rPr>
      <w:rFonts w:ascii="Times New Roman" w:eastAsia="仿宋" w:hAnsi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B2C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B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B2C"/>
    <w:rPr>
      <w:rFonts w:ascii="Times New Roman" w:eastAsia="仿宋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0BF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0BF4"/>
    <w:rPr>
      <w:rFonts w:ascii="Times New Roman" w:eastAsia="仿宋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A"/>
    <w:pPr>
      <w:spacing w:line="560" w:lineRule="exact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AA"/>
    <w:pPr>
      <w:jc w:val="both"/>
    </w:pPr>
    <w:rPr>
      <w:rFonts w:ascii="Times New Roman" w:eastAsia="仿宋" w:hAnsi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B2C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B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B2C"/>
    <w:rPr>
      <w:rFonts w:ascii="Times New Roman" w:eastAsia="仿宋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0BF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0BF4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3552</Characters>
  <Application>Microsoft Office Word</Application>
  <DocSecurity>0</DocSecurity>
  <Lines>29</Lines>
  <Paragraphs>8</Paragraphs>
  <ScaleCrop>false</ScaleCrop>
  <Company>china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王立田</dc:creator>
  <cp:lastModifiedBy>王金华/ZJSW</cp:lastModifiedBy>
  <cp:revision>2</cp:revision>
  <cp:lastPrinted>2019-05-21T02:47:00Z</cp:lastPrinted>
  <dcterms:created xsi:type="dcterms:W3CDTF">2019-05-21T03:00:00Z</dcterms:created>
  <dcterms:modified xsi:type="dcterms:W3CDTF">2019-05-21T03:00:00Z</dcterms:modified>
</cp:coreProperties>
</file>