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4：</w:t>
      </w:r>
    </w:p>
    <w:p>
      <w:pPr>
        <w:jc w:val="center"/>
        <w:rPr>
          <w:rFonts w:hint="eastAsia" w:ascii="方正小标宋简体" w:hAnsi="Times New Roman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hAnsi="Times New Roman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hAnsi="Times New Roman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hAnsi="Times New Roman" w:eastAsia="方正小标宋简体"/>
          <w:sz w:val="52"/>
          <w:szCs w:val="52"/>
        </w:rPr>
      </w:pPr>
      <w:r>
        <w:rPr>
          <w:rFonts w:hint="eastAsia" w:ascii="方正小标宋简体" w:hAnsi="Times New Roman" w:eastAsia="方正小标宋简体"/>
          <w:sz w:val="52"/>
          <w:szCs w:val="52"/>
        </w:rPr>
        <w:t>浙江省现代商贸特色镇评定申报表</w:t>
      </w:r>
    </w:p>
    <w:p>
      <w:pPr>
        <w:ind w:firstLine="1300" w:firstLineChars="250"/>
        <w:rPr>
          <w:rFonts w:ascii="Times New Roman" w:hAnsi="Times New Roman" w:eastAsia="仿宋_GB2312"/>
          <w:sz w:val="52"/>
          <w:szCs w:val="52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</w:p>
    <w:p>
      <w:pPr>
        <w:ind w:firstLine="1452" w:firstLineChars="454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>申报单位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</w:p>
    <w:p>
      <w:pPr>
        <w:ind w:firstLine="1452" w:firstLineChars="454"/>
        <w:rPr>
          <w:rFonts w:hint="eastAsia" w:ascii="Times New Roman" w:hAnsi="Times New Roman" w:eastAsia="黑体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联系人：     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                     </w:t>
      </w:r>
    </w:p>
    <w:p>
      <w:pPr>
        <w:ind w:firstLine="1452" w:firstLineChars="454"/>
        <w:rPr>
          <w:rFonts w:ascii="Times New Roman" w:hAnsi="Times New Roman" w:eastAsia="黑体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联系电话：   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                     </w:t>
      </w:r>
    </w:p>
    <w:p>
      <w:pPr>
        <w:ind w:firstLine="1452" w:firstLineChars="454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>申报日期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/>
    <w:tbl>
      <w:tblPr>
        <w:tblStyle w:val="3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559"/>
        <w:gridCol w:w="902"/>
        <w:gridCol w:w="232"/>
        <w:gridCol w:w="2230"/>
        <w:gridCol w:w="38"/>
        <w:gridCol w:w="1417"/>
        <w:gridCol w:w="1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78" w:type="dxa"/>
            <w:gridSpan w:val="9"/>
            <w:shd w:val="clear" w:color="auto" w:fill="D9D9D9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8"/>
              </w:rPr>
              <w:t>一、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8"/>
              </w:rPr>
              <w:t>基本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所属县（市、区）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是否县（市、区）政府所在镇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是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地理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区位</w:t>
            </w:r>
          </w:p>
        </w:tc>
        <w:tc>
          <w:tcPr>
            <w:tcW w:w="738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一类区域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二类区域（淳安等2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6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县及海岛县）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镇域面积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  <w:vertAlign w:val="superscript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k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m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建成区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面积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k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m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下辖行政村数量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个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镇域上年度GDP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镇常住人口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万人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镇区常住人口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镇区人均可支配收入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万元</w:t>
            </w:r>
          </w:p>
        </w:tc>
        <w:tc>
          <w:tcPr>
            <w:tcW w:w="22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镇区就业总人数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  <w:t>获得的荣誉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认定特色镇类型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商贸物流型 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休闲旅游型 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>专业市场型</w:t>
            </w:r>
          </w:p>
          <w:p>
            <w:pPr>
              <w:widowControl/>
              <w:spacing w:line="360" w:lineRule="auto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电子商务型 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78" w:type="dxa"/>
            <w:gridSpan w:val="9"/>
            <w:shd w:val="clear" w:color="auto" w:fill="D9D9D9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8"/>
              </w:rPr>
              <w:t>二、商贸基础设施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住宿餐饮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三星级以上（含）酒店数量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品牌连锁经营酒店数量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品牌连锁餐饮门店、特色餐饮门店数量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购物中心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平方米以上购物中心数量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平方米购物中心数量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-3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平方米购物中心数量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超市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1500平方米以上直营连锁超市数量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1000平方米以上的综合性超市数量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商业街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市级以上特色商业街数量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米以上商业街数量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00-800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米商业街数量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农贸市场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三星级以上（含）农贸市场数量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二星级农贸市场数量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一星级农贸市场数量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再生资源回收网点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再生资源回收站点数量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再生资源回收站点面积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m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8" w:type="dxa"/>
            <w:gridSpan w:val="9"/>
            <w:shd w:val="clear" w:color="auto" w:fill="D9D9D9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三、商贸工作管理现状（可另附各项制度文本和说明）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商贸发展规划</w:t>
            </w:r>
          </w:p>
        </w:tc>
        <w:tc>
          <w:tcPr>
            <w:tcW w:w="7385" w:type="dxa"/>
            <w:gridSpan w:val="8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有专项发展规划 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纳入多规合一 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FF0005"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商贸工作机制</w:t>
            </w:r>
          </w:p>
        </w:tc>
        <w:tc>
          <w:tcPr>
            <w:tcW w:w="7385" w:type="dxa"/>
            <w:gridSpan w:val="8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有协调机构 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   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有工作人员 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>已建立考核制度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商贸发展环境</w:t>
            </w:r>
          </w:p>
        </w:tc>
        <w:tc>
          <w:tcPr>
            <w:tcW w:w="7385" w:type="dxa"/>
            <w:gridSpan w:val="8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政策有创新 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   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管理有创新 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服务有创新 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8" w:type="dxa"/>
            <w:gridSpan w:val="9"/>
            <w:shd w:val="clear" w:color="auto" w:fill="D9D9D9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四、商贸现代化发展水平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连锁化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ind w:firstLine="420" w:firstLineChars="2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连锁化经营发展的主要商贸业态，经营规模、门店数量、发展水平等。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品牌化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知名商贸企业、品牌门店/专卖店/专业店的数量、经营规模，品牌商品开发情况。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现代化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主要商贸流通设施规模及其信息化、智能化、标准化水平等。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规模化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ind w:firstLine="420" w:firstLineChars="200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主要商贸流通业态的企业数量及企业规模（注册资本、固定资产、年销售额）等。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便利化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有无生活综合服务中心，便民消费服务设施功能配齐情况。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8" w:type="dxa"/>
            <w:gridSpan w:val="9"/>
            <w:shd w:val="clear" w:color="auto" w:fill="D9D9D9"/>
            <w:noWrap w:val="0"/>
            <w:vAlign w:val="center"/>
          </w:tcPr>
          <w:p>
            <w:pPr>
              <w:widowControl/>
              <w:rPr>
                <w:rFonts w:ascii="Times New Roman" w:hAnsi="Times New Roman"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8"/>
              </w:rPr>
              <w:t>五、商贸特色化发展水平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品牌影响力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ind w:firstLine="420" w:firstLineChars="200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根据特色类型，介绍一个（家）带动特色业态发展的最具代表性的企业、物流园区、产业景区、专业市场，重点说明其市场竞争力及业内地位、影响，或者介绍商贸业态整体发展情况（综合型）。可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产业服务体系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ind w:firstLine="420" w:firstLineChars="200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介绍适应特色商贸业态发展所建立的产业服务体系的完善程度，阐明上下游企业、支持产业或关联产业/企业的规模、代表性企业、市场营销等。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产业贡献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ind w:firstLine="420" w:firstLineChars="2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说明特色商贸业态在镇村协调发展、乡镇产业融合、农民就业增收等方面的贡献与作用。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8" w:type="dxa"/>
            <w:gridSpan w:val="9"/>
            <w:shd w:val="clear" w:color="auto" w:fill="D9D9D9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8"/>
              </w:rPr>
              <w:t>六、商贸流通业综合效益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8"/>
              </w:rPr>
              <w:t>促进乡镇消费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wordWrap w:val="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说明乡镇居民消费及其增长情况，应描述社会消费品零售总额/人均/品类构成等统计指标，以及特色镇创建计划实施后的增长情况。可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另附详细文本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8"/>
              </w:rPr>
              <w:t>拉动经济增长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wordWrap w:val="0"/>
              <w:ind w:firstLine="420" w:firstLineChars="20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说明商贸流通业在乡镇经济发展中的作用，可描述商贸业就业人数及其占比、商贸业税收贡献及其占比等统计指标，以及商贸流通业对农产品上行与工业品下乡的降本增效作用。可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另附详细文本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所在镇（盖章）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wordWrap w:val="0"/>
              <w:jc w:val="righ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所在县（市、区）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商务部门审核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wordWrap w:val="0"/>
              <w:jc w:val="righ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（盖章）     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所在设区市商务部门推荐意见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wordWrap w:val="0"/>
              <w:jc w:val="righ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（盖章）     </w:t>
            </w:r>
          </w:p>
          <w:p>
            <w:pPr>
              <w:widowControl/>
              <w:wordWrap w:val="0"/>
              <w:ind w:firstLine="5460" w:firstLineChars="26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snapToGrid w:val="0"/>
        <w:spacing w:line="20" w:lineRule="atLeast"/>
        <w:rPr>
          <w:rFonts w:hint="eastAsia" w:ascii="仿宋_GB2312" w:eastAsia="仿宋_GB2312"/>
          <w:sz w:val="10"/>
          <w:szCs w:val="10"/>
        </w:rPr>
      </w:pPr>
    </w:p>
    <w:p>
      <w:pPr>
        <w:snapToGrid w:val="0"/>
        <w:spacing w:line="2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注：本表所称</w:t>
      </w:r>
      <w:r>
        <w:rPr>
          <w:rFonts w:hint="eastAsia" w:eastAsia="仿宋_GB2312"/>
          <w:sz w:val="32"/>
          <w:szCs w:val="32"/>
        </w:rPr>
        <w:t>镇包括建制乡、建制镇，以及有下辖乡村的街道。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1"/>
    <w:rsid w:val="00433411"/>
    <w:rsid w:val="00737CBF"/>
    <w:rsid w:val="007467F7"/>
    <w:rsid w:val="007B6B69"/>
    <w:rsid w:val="008B05F6"/>
    <w:rsid w:val="008D1CD5"/>
    <w:rsid w:val="00CB17BC"/>
    <w:rsid w:val="00CF6248"/>
    <w:rsid w:val="00E57749"/>
    <w:rsid w:val="00FC11A6"/>
    <w:rsid w:val="0A1D881A"/>
    <w:rsid w:val="1F6D617F"/>
    <w:rsid w:val="1FDF1C21"/>
    <w:rsid w:val="2FD7F1DD"/>
    <w:rsid w:val="37601573"/>
    <w:rsid w:val="3A8FDC46"/>
    <w:rsid w:val="3FEBB6E6"/>
    <w:rsid w:val="3FFA1125"/>
    <w:rsid w:val="4CBD237D"/>
    <w:rsid w:val="4FCF9C36"/>
    <w:rsid w:val="56FD9920"/>
    <w:rsid w:val="5A7E711E"/>
    <w:rsid w:val="69FF0831"/>
    <w:rsid w:val="6F77C4D0"/>
    <w:rsid w:val="73CE45EB"/>
    <w:rsid w:val="77ACB22B"/>
    <w:rsid w:val="77BF9615"/>
    <w:rsid w:val="7BED9526"/>
    <w:rsid w:val="7E5F1AB5"/>
    <w:rsid w:val="7EEB3C91"/>
    <w:rsid w:val="7EED3AAC"/>
    <w:rsid w:val="7F7FFC0B"/>
    <w:rsid w:val="7F890D4D"/>
    <w:rsid w:val="7FB79F47"/>
    <w:rsid w:val="ABFFA786"/>
    <w:rsid w:val="B775B17D"/>
    <w:rsid w:val="BBBB45FD"/>
    <w:rsid w:val="BBD3C397"/>
    <w:rsid w:val="BF6091FF"/>
    <w:rsid w:val="BFBF3BF0"/>
    <w:rsid w:val="CFEDC586"/>
    <w:rsid w:val="CFEEB96D"/>
    <w:rsid w:val="DE4C6A95"/>
    <w:rsid w:val="E5FE1198"/>
    <w:rsid w:val="F9AFF7C0"/>
    <w:rsid w:val="FC6F7179"/>
    <w:rsid w:val="FCF3D311"/>
    <w:rsid w:val="FDF7A8D3"/>
    <w:rsid w:val="FFCBAF81"/>
    <w:rsid w:val="FF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4</Pages>
  <Words>268</Words>
  <Characters>1531</Characters>
  <Lines>12</Lines>
  <Paragraphs>3</Paragraphs>
  <TotalTime>1</TotalTime>
  <ScaleCrop>false</ScaleCrop>
  <LinksUpToDate>false</LinksUpToDate>
  <CharactersWithSpaces>1796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2020-10-16T13:00:00Z</dcterms:created>
  <dc:creator>蒋正伟/ZJSW</dc:creator>
  <cp:lastModifiedBy>admin/ZJSW</cp:lastModifiedBy>
  <cp:lastPrinted>2021-11-11T19:39:00Z</cp:lastPrinted>
  <dcterms:modified xsi:type="dcterms:W3CDTF">2021-11-16T07:17:08Z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E8C93D3623C94272A468A26A7CC60990</vt:lpwstr>
  </property>
</Properties>
</file>