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3E" w:rsidRPr="00CC1D68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center"/>
        <w:rPr>
          <w:rFonts w:cs="Times New Roman" w:hint="eastAsia"/>
          <w:color w:val="464646"/>
          <w:sz w:val="40"/>
          <w:szCs w:val="28"/>
        </w:rPr>
      </w:pPr>
    </w:p>
    <w:p w:rsidR="0050103B" w:rsidRDefault="0050103B" w:rsidP="00F007FC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center"/>
        <w:rPr>
          <w:rFonts w:cs="Times New Roman"/>
          <w:b/>
          <w:color w:val="464646"/>
          <w:sz w:val="40"/>
          <w:szCs w:val="28"/>
        </w:rPr>
      </w:pPr>
    </w:p>
    <w:p w:rsidR="00F007FC" w:rsidRDefault="0008023E" w:rsidP="00F007FC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center"/>
        <w:rPr>
          <w:rFonts w:cs="Times New Roman"/>
          <w:b/>
          <w:color w:val="464646"/>
          <w:sz w:val="40"/>
          <w:szCs w:val="28"/>
        </w:rPr>
      </w:pPr>
      <w:r w:rsidRPr="00CC1D68">
        <w:rPr>
          <w:rFonts w:cs="Times New Roman" w:hint="eastAsia"/>
          <w:b/>
          <w:color w:val="464646"/>
          <w:sz w:val="40"/>
          <w:szCs w:val="28"/>
        </w:rPr>
        <w:t>省商务厅</w:t>
      </w:r>
      <w:r w:rsidR="003C473F">
        <w:rPr>
          <w:rFonts w:cs="Times New Roman" w:hint="eastAsia"/>
          <w:b/>
          <w:color w:val="464646"/>
          <w:sz w:val="40"/>
          <w:szCs w:val="28"/>
        </w:rPr>
        <w:t xml:space="preserve"> </w:t>
      </w:r>
      <w:r w:rsidRPr="00CC1D68">
        <w:rPr>
          <w:rFonts w:cs="Times New Roman" w:hint="eastAsia"/>
          <w:b/>
          <w:color w:val="464646"/>
          <w:sz w:val="40"/>
          <w:szCs w:val="28"/>
        </w:rPr>
        <w:t>省建设厅关于加快推进建筑业</w:t>
      </w:r>
    </w:p>
    <w:p w:rsidR="0008023E" w:rsidRPr="00CC1D68" w:rsidRDefault="0008023E" w:rsidP="00F007FC">
      <w:pPr>
        <w:pStyle w:val="a3"/>
        <w:shd w:val="clear" w:color="auto" w:fill="FFFFFF"/>
        <w:spacing w:before="0" w:beforeAutospacing="0" w:after="0" w:afterAutospacing="0" w:line="590" w:lineRule="atLeast"/>
        <w:rPr>
          <w:rFonts w:cs="Times New Roman"/>
          <w:b/>
          <w:color w:val="464646"/>
          <w:sz w:val="40"/>
          <w:szCs w:val="28"/>
        </w:rPr>
      </w:pPr>
      <w:r w:rsidRPr="00CC1D68">
        <w:rPr>
          <w:rFonts w:cs="Times New Roman" w:hint="eastAsia"/>
          <w:b/>
          <w:color w:val="464646"/>
          <w:sz w:val="40"/>
          <w:szCs w:val="28"/>
        </w:rPr>
        <w:t>“走出去”发展三年行动计划（2018—2020年）</w:t>
      </w:r>
    </w:p>
    <w:p w:rsidR="0008023E" w:rsidRPr="00CC1D68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center"/>
        <w:rPr>
          <w:rFonts w:ascii="楷体" w:eastAsia="楷体" w:cs="Times New Roman"/>
          <w:color w:val="464646"/>
          <w:sz w:val="36"/>
          <w:szCs w:val="28"/>
        </w:rPr>
      </w:pPr>
      <w:r w:rsidRPr="00CC1D68">
        <w:rPr>
          <w:rFonts w:ascii="楷体" w:eastAsia="楷体" w:cs="Times New Roman" w:hint="eastAsia"/>
          <w:color w:val="464646"/>
          <w:sz w:val="36"/>
          <w:szCs w:val="28"/>
        </w:rPr>
        <w:t>（</w:t>
      </w:r>
      <w:r w:rsidR="00D20B2C">
        <w:rPr>
          <w:rFonts w:ascii="楷体" w:eastAsia="楷体" w:cs="Times New Roman" w:hint="eastAsia"/>
          <w:color w:val="464646"/>
          <w:sz w:val="36"/>
          <w:szCs w:val="28"/>
        </w:rPr>
        <w:t>送审</w:t>
      </w:r>
      <w:r w:rsidR="00A629DA" w:rsidRPr="00CC1D68">
        <w:rPr>
          <w:rFonts w:ascii="楷体" w:eastAsia="楷体" w:cs="Times New Roman" w:hint="eastAsia"/>
          <w:color w:val="464646"/>
          <w:sz w:val="36"/>
          <w:szCs w:val="28"/>
        </w:rPr>
        <w:t>稿</w:t>
      </w:r>
      <w:r w:rsidRPr="00CC1D68">
        <w:rPr>
          <w:rFonts w:ascii="楷体" w:eastAsia="楷体" w:cs="Times New Roman" w:hint="eastAsia"/>
          <w:color w:val="464646"/>
          <w:sz w:val="36"/>
          <w:szCs w:val="28"/>
        </w:rPr>
        <w:t>）</w:t>
      </w:r>
    </w:p>
    <w:p w:rsidR="0008023E" w:rsidRPr="00CC1D68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center"/>
        <w:rPr>
          <w:rFonts w:cs="Times New Roman"/>
          <w:color w:val="464646"/>
          <w:sz w:val="40"/>
          <w:szCs w:val="28"/>
        </w:rPr>
      </w:pPr>
    </w:p>
    <w:p w:rsidR="0008023E" w:rsidRPr="00CC1D68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hAnsi="Times New Roman" w:cs="Times New Roman"/>
          <w:color w:val="464646"/>
          <w:sz w:val="32"/>
          <w:szCs w:val="32"/>
        </w:rPr>
      </w:pP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为</w:t>
      </w:r>
      <w:r w:rsidR="00366C67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大力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实</w:t>
      </w:r>
      <w:r w:rsidR="00CE2857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施</w:t>
      </w:r>
      <w:r w:rsidR="00F90125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“走出去”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战略，</w:t>
      </w:r>
      <w:r w:rsidR="003C473F">
        <w:rPr>
          <w:rFonts w:ascii="仿宋_GB2312" w:eastAsia="仿宋_GB2312" w:cs="Times New Roman" w:hint="eastAsia"/>
          <w:color w:val="464646"/>
          <w:sz w:val="32"/>
          <w:szCs w:val="32"/>
        </w:rPr>
        <w:t>积极</w:t>
      </w:r>
      <w:r w:rsidR="00CE2857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抢抓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“一带一路”</w:t>
      </w:r>
      <w:r w:rsidR="00CE2857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统领新一轮对外开放的战略机遇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，加快推动我省建筑业“走出去”</w:t>
      </w:r>
      <w:r w:rsidR="00CE2857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，逐步向全方位、多层次、宽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领域发展，促进建筑业转型升级和提质增效，根据《浙江省人民政府办公厅关于加快建筑业改革与发展的实施意见》（浙政办发</w:t>
      </w:r>
      <w:r w:rsidR="00CE2857" w:rsidRPr="00CC1D68">
        <w:rPr>
          <w:rFonts w:ascii="仿宋" w:eastAsia="仿宋" w:hAnsi="仿宋" w:cs="Times New Roman" w:hint="eastAsia"/>
          <w:color w:val="464646"/>
          <w:sz w:val="32"/>
          <w:szCs w:val="32"/>
        </w:rPr>
        <w:t>〔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2017</w:t>
      </w:r>
      <w:r w:rsidR="00CE2857" w:rsidRPr="00CC1D68">
        <w:rPr>
          <w:rFonts w:ascii="仿宋" w:eastAsia="仿宋" w:hAnsi="仿宋" w:cs="Times New Roman" w:hint="eastAsia"/>
          <w:color w:val="464646"/>
          <w:sz w:val="32"/>
          <w:szCs w:val="32"/>
        </w:rPr>
        <w:t>〕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89号）精神，</w:t>
      </w:r>
      <w:r w:rsidR="003C473F">
        <w:rPr>
          <w:rFonts w:ascii="仿宋_GB2312" w:eastAsia="仿宋_GB2312" w:cs="Times New Roman" w:hint="eastAsia"/>
          <w:color w:val="464646"/>
          <w:sz w:val="32"/>
          <w:szCs w:val="32"/>
        </w:rPr>
        <w:t>特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制定</w:t>
      </w:r>
      <w:r w:rsidR="003C473F">
        <w:rPr>
          <w:rFonts w:ascii="仿宋_GB2312" w:eastAsia="仿宋_GB2312" w:cs="Times New Roman" w:hint="eastAsia"/>
          <w:color w:val="464646"/>
          <w:sz w:val="32"/>
          <w:szCs w:val="32"/>
        </w:rPr>
        <w:t>本行动计划。</w:t>
      </w:r>
    </w:p>
    <w:p w:rsidR="0008023E" w:rsidRPr="003C473F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黑体" w:eastAsia="黑体" w:hAnsi="Times New Roman" w:cs="Times New Roman"/>
          <w:b/>
          <w:color w:val="464646"/>
          <w:sz w:val="32"/>
          <w:szCs w:val="32"/>
        </w:rPr>
      </w:pPr>
      <w:r w:rsidRPr="003C473F">
        <w:rPr>
          <w:rFonts w:ascii="黑体" w:eastAsia="黑体" w:cs="Times New Roman" w:hint="eastAsia"/>
          <w:b/>
          <w:color w:val="464646"/>
          <w:sz w:val="32"/>
          <w:szCs w:val="32"/>
        </w:rPr>
        <w:t>一、总体要求</w:t>
      </w:r>
    </w:p>
    <w:p w:rsidR="0008023E" w:rsidRPr="00CC1D68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C1D68">
        <w:rPr>
          <w:rFonts w:ascii="楷体" w:eastAsia="楷体" w:cs="Times New Roman" w:hint="eastAsia"/>
          <w:b/>
          <w:color w:val="464646"/>
          <w:sz w:val="32"/>
          <w:szCs w:val="32"/>
        </w:rPr>
        <w:t>（一）指导思想。</w:t>
      </w:r>
      <w:r w:rsidR="0050103B">
        <w:rPr>
          <w:rFonts w:ascii="仿宋_GB2312" w:eastAsia="仿宋_GB2312" w:cs="Times New Roman" w:hint="eastAsia"/>
          <w:color w:val="464646"/>
          <w:sz w:val="32"/>
          <w:szCs w:val="32"/>
        </w:rPr>
        <w:t>坚持以习近平</w:t>
      </w:r>
      <w:r w:rsidR="00CE2857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新时代中国特色社会主义思想为指引，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全面贯彻党的十九大</w:t>
      </w:r>
      <w:r w:rsidR="00F305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和中央经济工作会议精神，按照</w:t>
      </w:r>
      <w:r w:rsidR="00CE2857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省第十四次党代会</w:t>
      </w:r>
      <w:r w:rsidR="00F305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、省委十四届二次全会省委经济工作</w:t>
      </w:r>
      <w:r w:rsidR="00766CA5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会议</w:t>
      </w:r>
      <w:r w:rsidR="008C248D">
        <w:rPr>
          <w:rFonts w:ascii="仿宋_GB2312" w:eastAsia="仿宋_GB2312" w:cs="Times New Roman" w:hint="eastAsia"/>
          <w:color w:val="464646"/>
          <w:sz w:val="32"/>
          <w:szCs w:val="32"/>
        </w:rPr>
        <w:t>和全省开放型大会工作</w:t>
      </w:r>
      <w:r w:rsidR="00766CA5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部署，落实</w:t>
      </w:r>
      <w:r w:rsidR="0050103B">
        <w:rPr>
          <w:rFonts w:ascii="仿宋_GB2312" w:eastAsia="仿宋_GB2312" w:cs="Times New Roman" w:hint="eastAsia"/>
          <w:color w:val="464646"/>
          <w:sz w:val="32"/>
          <w:szCs w:val="32"/>
        </w:rPr>
        <w:t>新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发展理念，以“一带一路”统领新一轮对外开放</w:t>
      </w:r>
      <w:r w:rsidR="00766CA5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为契机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，充分发挥浙江建筑业实力强、信誉好、技术优、机制活的优</w:t>
      </w:r>
      <w:bookmarkStart w:id="0" w:name="_GoBack"/>
      <w:bookmarkEnd w:id="0"/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势，通过政策扶持</w:t>
      </w:r>
      <w:r w:rsidR="00877F4C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，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示范引领，</w:t>
      </w:r>
      <w:r w:rsidR="00766CA5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大力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实施建筑业“走出去”发展战略，着力推进建筑业结构调整和转型升级，不断提升国际竞争力和市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lastRenderedPageBreak/>
        <w:t>场占有率，为实现“两个一百年”奋斗目标的浙江篇章</w:t>
      </w:r>
      <w:proofErr w:type="gramStart"/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作出</w:t>
      </w:r>
      <w:proofErr w:type="gramEnd"/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积极贡献。</w:t>
      </w:r>
    </w:p>
    <w:p w:rsidR="0008023E" w:rsidRPr="00CC1D68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C1D68">
        <w:rPr>
          <w:rFonts w:ascii="楷体" w:eastAsia="楷体" w:cs="Times New Roman" w:hint="eastAsia"/>
          <w:b/>
          <w:color w:val="464646"/>
          <w:sz w:val="32"/>
          <w:szCs w:val="32"/>
        </w:rPr>
        <w:t>（二）目标任务。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到2020年底，全省境外承包工程营业额达到</w:t>
      </w:r>
      <w:r w:rsidR="00FC6D3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85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亿美元以上，培育4家对外承包工程企业进入ENR国际承包商250强和国际工程设计企业225强，形成一批工程总承包企业和国际市场竞争力强的外向型建筑企业。</w:t>
      </w:r>
    </w:p>
    <w:p w:rsidR="0008023E" w:rsidRPr="00CC1D68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C1D68">
        <w:rPr>
          <w:rFonts w:eastAsia="仿宋_GB2312" w:hint="eastAsia"/>
          <w:b/>
          <w:sz w:val="32"/>
          <w:szCs w:val="32"/>
        </w:rPr>
        <w:t>（三）实施步骤。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到2018年，力争对外承包工程营业额达到</w:t>
      </w:r>
      <w:r w:rsidR="008E7AF8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75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亿美金，确定10家左右对外承包培育企业，实施精准施策，重点扶持，确保有2家对外承包工程企业进入ENR国际承包商250强。</w:t>
      </w:r>
    </w:p>
    <w:p w:rsidR="0008023E" w:rsidRPr="00CC1D68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到2019年，力争对外承包工程营业额达到</w:t>
      </w:r>
      <w:r w:rsidR="008E7AF8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80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亿美金，在确保有2家对外承包工程企业进入ENR国际承包商250强基础上，新增1家企业进入国际工程设计企业225强。</w:t>
      </w:r>
    </w:p>
    <w:p w:rsidR="0008023E" w:rsidRPr="00CC1D68" w:rsidRDefault="0008023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b/>
          <w:color w:val="464646"/>
          <w:sz w:val="32"/>
          <w:szCs w:val="32"/>
        </w:rPr>
      </w:pP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到2020年，力争对外承包工程营业额达到</w:t>
      </w:r>
      <w:r w:rsidR="008E7AF8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85</w:t>
      </w:r>
      <w:r w:rsidR="00771F30">
        <w:rPr>
          <w:rFonts w:ascii="仿宋_GB2312" w:eastAsia="仿宋_GB2312" w:cs="Times New Roman" w:hint="eastAsia"/>
          <w:color w:val="464646"/>
          <w:sz w:val="32"/>
          <w:szCs w:val="32"/>
        </w:rPr>
        <w:t>亿美金，力争共培育</w:t>
      </w:r>
      <w:r w:rsidRPr="00CC1D68">
        <w:rPr>
          <w:rFonts w:ascii="仿宋_GB2312" w:eastAsia="仿宋_GB2312" w:cs="Times New Roman" w:hint="eastAsia"/>
          <w:color w:val="464646"/>
          <w:sz w:val="32"/>
          <w:szCs w:val="32"/>
        </w:rPr>
        <w:t>4家对外承包工程企业进入ENR国际承包商250强和国际工程设计企业225强。</w:t>
      </w:r>
    </w:p>
    <w:p w:rsidR="008E7AF8" w:rsidRPr="00CC1D68" w:rsidRDefault="008E7AF8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黑体" w:eastAsia="黑体" w:cs="Times New Roman"/>
          <w:color w:val="464646"/>
          <w:sz w:val="32"/>
          <w:szCs w:val="32"/>
        </w:rPr>
      </w:pPr>
      <w:r w:rsidRPr="00CC1D68">
        <w:rPr>
          <w:rFonts w:ascii="黑体" w:eastAsia="黑体" w:cs="Times New Roman" w:hint="eastAsia"/>
          <w:color w:val="464646"/>
          <w:sz w:val="32"/>
          <w:szCs w:val="32"/>
        </w:rPr>
        <w:t>二、重点行动</w:t>
      </w:r>
    </w:p>
    <w:p w:rsidR="008E7AF8" w:rsidRPr="00CC1D68" w:rsidRDefault="005B588C" w:rsidP="00C314F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hAnsi="Times New Roman" w:cs="Times New Roman"/>
          <w:color w:val="464646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（一）</w:t>
      </w:r>
      <w:r w:rsidR="00EA4D43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培育和壮大主体</w:t>
      </w:r>
      <w:r w:rsidR="0063655C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队伍</w:t>
      </w:r>
      <w:r w:rsidR="00EA4D43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EA4D43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进一步优化经营主体结构，提升国际化经营能力</w:t>
      </w:r>
      <w:r w:rsidR="00113112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，</w:t>
      </w:r>
      <w:r w:rsidR="00EA4D43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培育一批具有相当规模和竞争力的国际工程承包商。鼓励</w:t>
      </w:r>
      <w:r w:rsidR="00EA4D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龙头建筑</w:t>
      </w:r>
      <w:r w:rsidR="001F32E6">
        <w:rPr>
          <w:rFonts w:ascii="仿宋_GB2312" w:eastAsia="仿宋_GB2312" w:cs="Times New Roman" w:hint="eastAsia"/>
          <w:color w:val="464646"/>
          <w:sz w:val="32"/>
          <w:szCs w:val="32"/>
        </w:rPr>
        <w:t>业</w:t>
      </w:r>
      <w:r w:rsidR="00EA4D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企业向公路、铁路、机场、水利、轨道交通等基础设施领域发展</w:t>
      </w:r>
      <w:r w:rsidR="003C473F">
        <w:rPr>
          <w:rFonts w:ascii="仿宋_GB2312" w:eastAsia="仿宋_GB2312" w:cs="Times New Roman" w:hint="eastAsia"/>
          <w:color w:val="464646"/>
          <w:sz w:val="32"/>
          <w:szCs w:val="32"/>
        </w:rPr>
        <w:t>，</w:t>
      </w:r>
      <w:r w:rsidR="00EA4D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对以房屋建筑为主的对外承包工程骨干企业申请</w:t>
      </w:r>
      <w:r w:rsidR="0050103B">
        <w:rPr>
          <w:rFonts w:ascii="仿宋_GB2312" w:eastAsia="仿宋_GB2312" w:cs="Times New Roman" w:hint="eastAsia"/>
          <w:color w:val="464646"/>
          <w:sz w:val="32"/>
          <w:szCs w:val="32"/>
        </w:rPr>
        <w:t>市政、</w:t>
      </w:r>
      <w:r w:rsidR="00EA4D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交通、水利等基础设施施</w:t>
      </w:r>
      <w:r w:rsidR="00EA4D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lastRenderedPageBreak/>
        <w:t>工二级资质的，给予政策倾斜支持。推进骨干企业逐步向大型项目管理公司和工程总承包公司</w:t>
      </w:r>
      <w:r w:rsidR="0050103B">
        <w:rPr>
          <w:rFonts w:ascii="仿宋_GB2312" w:eastAsia="仿宋_GB2312" w:cs="Times New Roman" w:hint="eastAsia"/>
          <w:color w:val="464646"/>
          <w:sz w:val="32"/>
          <w:szCs w:val="32"/>
        </w:rPr>
        <w:t>发展</w:t>
      </w:r>
      <w:r w:rsidR="00EA4D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，分包</w:t>
      </w:r>
      <w:r w:rsidR="00C9546C">
        <w:rPr>
          <w:rFonts w:ascii="仿宋_GB2312" w:eastAsia="仿宋_GB2312" w:cs="Times New Roman" w:hint="eastAsia"/>
          <w:color w:val="464646"/>
          <w:sz w:val="32"/>
          <w:szCs w:val="32"/>
        </w:rPr>
        <w:t>企业</w:t>
      </w:r>
      <w:r w:rsidR="00EA4D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向独立承揽工程</w:t>
      </w:r>
      <w:r w:rsidR="00C9546C">
        <w:rPr>
          <w:rFonts w:ascii="仿宋_GB2312" w:eastAsia="仿宋_GB2312" w:cs="Times New Roman" w:hint="eastAsia"/>
          <w:color w:val="464646"/>
          <w:sz w:val="32"/>
          <w:szCs w:val="32"/>
        </w:rPr>
        <w:t>项目</w:t>
      </w:r>
      <w:r w:rsidR="0050103B">
        <w:rPr>
          <w:rFonts w:ascii="仿宋_GB2312" w:eastAsia="仿宋_GB2312" w:cs="Times New Roman" w:hint="eastAsia"/>
          <w:color w:val="464646"/>
          <w:sz w:val="32"/>
          <w:szCs w:val="32"/>
        </w:rPr>
        <w:t>拓展</w:t>
      </w:r>
      <w:r w:rsidR="0002460D">
        <w:rPr>
          <w:rFonts w:ascii="仿宋_GB2312" w:eastAsia="仿宋_GB2312" w:cs="Times New Roman" w:hint="eastAsia"/>
          <w:color w:val="464646"/>
          <w:sz w:val="32"/>
          <w:szCs w:val="32"/>
        </w:rPr>
        <w:t>，大力发展钢结构、装饰、环保、智能化等新兴领域</w:t>
      </w:r>
      <w:r w:rsidR="00EA4D43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。</w:t>
      </w:r>
      <w:r w:rsidR="00113112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加强绩效评估考核，支持企业参加</w:t>
      </w:r>
      <w:r w:rsidR="003B463F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ENR国际承包商250强和国际工程设计企业225强</w:t>
      </w:r>
      <w:r w:rsidR="00113112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的评选，通过先进示范带动整体能力的提升。</w:t>
      </w:r>
    </w:p>
    <w:p w:rsidR="0063655C" w:rsidRPr="00CC1D68" w:rsidRDefault="0063655C" w:rsidP="00A767E0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（二）</w:t>
      </w:r>
      <w:r w:rsidR="00F12A2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拓</w:t>
      </w:r>
      <w:r w:rsidR="00B4375F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展</w:t>
      </w:r>
      <w:r w:rsidR="00F12A2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国际工程</w:t>
      </w:r>
      <w:r w:rsidR="00B4375F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市场。</w:t>
      </w:r>
      <w:r w:rsidR="00B4375F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积极鼓励企业以多种</w:t>
      </w:r>
      <w:r w:rsidR="00A767E0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方式</w:t>
      </w:r>
      <w:r w:rsidR="00B4375F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拓展对外承包工程市场</w:t>
      </w:r>
      <w:r w:rsidR="006A2605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。</w:t>
      </w:r>
      <w:r w:rsidR="00A767E0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支持</w:t>
      </w:r>
      <w:r w:rsidR="00C314FE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对外承包工程企业</w:t>
      </w:r>
      <w:r w:rsidR="001A6D98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积极对接央企，通过“</w:t>
      </w:r>
      <w:r w:rsidR="00C314FE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借船出海</w:t>
      </w:r>
      <w:r w:rsidR="001A6D98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”方式开</w:t>
      </w:r>
      <w:r w:rsidR="00B4375F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拓</w:t>
      </w:r>
      <w:r w:rsidR="001A6D98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国际市场。</w:t>
      </w:r>
      <w:r w:rsidR="006342DB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支持企业承揽中国政府援外优惠贷款和优惠出口买方信贷，积极借助援外项目推动建筑业“走出去”。</w:t>
      </w:r>
      <w:r w:rsidR="003D17A4">
        <w:rPr>
          <w:rFonts w:ascii="仿宋_GB2312" w:eastAsia="仿宋_GB2312" w:cs="Times New Roman" w:hint="eastAsia"/>
          <w:color w:val="464646"/>
          <w:sz w:val="32"/>
          <w:szCs w:val="32"/>
        </w:rPr>
        <w:t>对于</w:t>
      </w:r>
      <w:r w:rsidR="001E70D7">
        <w:rPr>
          <w:rFonts w:ascii="仿宋_GB2312" w:eastAsia="仿宋_GB2312" w:cs="Times New Roman" w:hint="eastAsia"/>
          <w:color w:val="464646"/>
          <w:sz w:val="32"/>
          <w:szCs w:val="32"/>
        </w:rPr>
        <w:t>我省</w:t>
      </w:r>
      <w:r w:rsidR="003D17A4">
        <w:rPr>
          <w:rFonts w:ascii="仿宋_GB2312" w:eastAsia="仿宋_GB2312" w:cs="Times New Roman" w:hint="eastAsia"/>
          <w:color w:val="464646"/>
          <w:sz w:val="32"/>
          <w:szCs w:val="32"/>
        </w:rPr>
        <w:t>各级政府推动的</w:t>
      </w:r>
      <w:r w:rsidR="001E70D7">
        <w:rPr>
          <w:rFonts w:ascii="仿宋_GB2312" w:eastAsia="仿宋_GB2312" w:cs="Times New Roman" w:hint="eastAsia"/>
          <w:color w:val="464646"/>
          <w:sz w:val="32"/>
          <w:szCs w:val="32"/>
        </w:rPr>
        <w:t>境外经贸合作园区、国际产能合作、跨境信息产业通道、海外创新孵化中心</w:t>
      </w:r>
      <w:r w:rsidR="006342DB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等基础设施和工程项目，</w:t>
      </w:r>
      <w:r w:rsidR="003D17A4">
        <w:rPr>
          <w:rFonts w:ascii="仿宋_GB2312" w:eastAsia="仿宋_GB2312" w:cs="Times New Roman" w:hint="eastAsia"/>
          <w:color w:val="464646"/>
          <w:sz w:val="32"/>
          <w:szCs w:val="32"/>
        </w:rPr>
        <w:t>在同等条件下，要优先对接我省</w:t>
      </w:r>
      <w:r w:rsidR="003D17A4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对外承包</w:t>
      </w:r>
      <w:r w:rsidR="003D17A4">
        <w:rPr>
          <w:rFonts w:ascii="仿宋_GB2312" w:eastAsia="仿宋_GB2312" w:cs="Times New Roman" w:hint="eastAsia"/>
          <w:color w:val="464646"/>
          <w:sz w:val="32"/>
          <w:szCs w:val="32"/>
        </w:rPr>
        <w:t>工程企业，在</w:t>
      </w:r>
      <w:r w:rsidR="006342DB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规划、设计、施工、管理等方面体现浙江元素，打造浙江特色。</w:t>
      </w:r>
    </w:p>
    <w:p w:rsidR="00A767E0" w:rsidRPr="00CC1D68" w:rsidRDefault="002A5084" w:rsidP="006342DB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（三）</w:t>
      </w:r>
      <w:r w:rsidR="00F12A2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大力推行工程总承包</w:t>
      </w:r>
      <w:r w:rsidR="006342DB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1F32E6" w:rsidRPr="00EA358B">
        <w:rPr>
          <w:rFonts w:ascii="仿宋_GB2312" w:eastAsia="仿宋_GB2312" w:cs="Times New Roman" w:hint="eastAsia"/>
          <w:color w:val="464646"/>
          <w:sz w:val="32"/>
          <w:szCs w:val="32"/>
        </w:rPr>
        <w:t>鼓励具有条件和资格的设计企业、施工</w:t>
      </w:r>
      <w:r w:rsidR="00EA358B" w:rsidRPr="00EA358B">
        <w:rPr>
          <w:rFonts w:ascii="仿宋_GB2312" w:eastAsia="仿宋_GB2312" w:cs="Times New Roman" w:hint="eastAsia"/>
          <w:color w:val="464646"/>
          <w:sz w:val="32"/>
          <w:szCs w:val="32"/>
        </w:rPr>
        <w:t>总承包企业提高工程总承包能力，</w:t>
      </w:r>
      <w:r w:rsidR="00540E0E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加快构建以工程总承包为龙头、专业承包为依托、劳务分包为基础的承包商体系，</w:t>
      </w:r>
      <w:r w:rsidR="00874E15">
        <w:rPr>
          <w:rFonts w:ascii="仿宋_GB2312" w:eastAsia="仿宋_GB2312" w:cs="Times New Roman" w:hint="eastAsia"/>
          <w:color w:val="464646"/>
          <w:sz w:val="32"/>
          <w:szCs w:val="32"/>
        </w:rPr>
        <w:t>鼓励</w:t>
      </w:r>
      <w:r w:rsidR="00540E0E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形成勘察、设计、监理配套的全过程咨询服务体系，提高我省建筑产业国际化水平。</w:t>
      </w:r>
      <w:r w:rsidR="000E27DB" w:rsidRPr="0002460D">
        <w:rPr>
          <w:rFonts w:ascii="仿宋_GB2312" w:eastAsia="仿宋_GB2312" w:cs="Times New Roman" w:hint="eastAsia"/>
          <w:color w:val="464646"/>
          <w:sz w:val="32"/>
          <w:szCs w:val="32"/>
        </w:rPr>
        <w:t>主动接轨国际工程承包和管理方式，</w:t>
      </w:r>
      <w:r w:rsidR="006342DB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支持</w:t>
      </w:r>
      <w:r w:rsidR="00874E15">
        <w:rPr>
          <w:rFonts w:ascii="仿宋_GB2312" w:eastAsia="仿宋_GB2312" w:cs="Times New Roman" w:hint="eastAsia"/>
          <w:color w:val="464646"/>
          <w:sz w:val="32"/>
          <w:szCs w:val="32"/>
        </w:rPr>
        <w:t>对外承包工程</w:t>
      </w:r>
      <w:r w:rsidR="006342DB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企业承揽一批附加值高、影响力较大的交通、能源、通信等基础设施项目，优先推动</w:t>
      </w:r>
      <w:r w:rsidR="006342DB" w:rsidRPr="00CC1D68">
        <w:rPr>
          <w:rFonts w:ascii="仿宋_GB2312" w:eastAsia="仿宋_GB2312" w:cs="Times New Roman" w:hint="eastAsia"/>
          <w:color w:val="464646"/>
          <w:sz w:val="32"/>
          <w:szCs w:val="32"/>
        </w:rPr>
        <w:lastRenderedPageBreak/>
        <w:t>一批PMC</w:t>
      </w:r>
      <w:r w:rsidR="00874E15">
        <w:rPr>
          <w:rFonts w:ascii="仿宋_GB2312" w:eastAsia="仿宋_GB2312" w:cs="Times New Roman" w:hint="eastAsia"/>
          <w:color w:val="464646"/>
          <w:sz w:val="32"/>
          <w:szCs w:val="32"/>
        </w:rPr>
        <w:t>（管理总承包）</w:t>
      </w:r>
      <w:r w:rsidR="006342DB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、EPC（设计-采购-施工）项目，增强工程带动成套设备与装备出口的能力。</w:t>
      </w:r>
    </w:p>
    <w:p w:rsidR="002A5084" w:rsidRDefault="002A5084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eastAsia="仿宋_GB2312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（四）鼓励</w:t>
      </w:r>
      <w:r w:rsidR="00C0517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企业</w:t>
      </w: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“联盟拓市”</w:t>
      </w:r>
      <w:r w:rsidR="0095466D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EF4D21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以企业为主体，市场为导向，商会为平台，</w:t>
      </w:r>
      <w:r w:rsidR="00E04920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构建“投融资联盟”、“总承包联盟”、“供应服务商”联盟，整合企业优势资源，</w:t>
      </w:r>
      <w:r w:rsidR="00540E0E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加强我省装备制造企业与工程企业的联盟协作，参与“一带一路”沿线国家、非洲拉美等市场的基础设施建设和投资运营。以电力、交通、通讯、建筑建材等行业为重点，扎实推进一批在沿线国家具有影响力的大工程、大项目，实施建营一体化，带动浙江装备制造、技术标准、服务等出口。推动我省工程承包企业转</w:t>
      </w:r>
      <w:r w:rsidR="00540E0E" w:rsidRPr="00540E0E">
        <w:rPr>
          <w:rFonts w:eastAsia="仿宋_GB2312" w:hint="eastAsia"/>
          <w:sz w:val="32"/>
          <w:szCs w:val="32"/>
        </w:rPr>
        <w:t>型为综合承包服务商、机电装备出口企业转型为系统集成商。</w:t>
      </w:r>
    </w:p>
    <w:p w:rsidR="003B463F" w:rsidRPr="003B463F" w:rsidRDefault="003B463F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eastAsia="仿宋_GB2312"/>
          <w:sz w:val="32"/>
          <w:szCs w:val="32"/>
        </w:rPr>
      </w:pPr>
      <w:r w:rsidRPr="003B463F">
        <w:rPr>
          <w:rFonts w:ascii="楷体" w:eastAsia="楷体" w:cs="Times New Roman" w:hint="eastAsia"/>
          <w:b/>
          <w:color w:val="464646"/>
          <w:sz w:val="32"/>
          <w:szCs w:val="32"/>
        </w:rPr>
        <w:t>（五）加强标准引领。</w:t>
      </w:r>
      <w:r w:rsidRPr="004C02D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开</w:t>
      </w:r>
      <w:r w:rsidRPr="007A46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展</w:t>
      </w:r>
      <w:r w:rsidR="00AA708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工程建设领域</w:t>
      </w:r>
      <w:r w:rsidRPr="007A46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中外标准对比研究，适应国际通行的标准内容、要素指标和相关术语，缩小与国外先进标准的技术差距。</w:t>
      </w:r>
      <w:r w:rsidR="00874E1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加大我省企业标准的宣传推广力度，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 w:rsidR="00874E1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“一带一路”战略为引领，优先在对外投资、技术输出和对外承包工程中推广应用。</w:t>
      </w:r>
      <w:r w:rsidRPr="007A46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积极开展国际标准认证、交流等活动，组织专家开展国内外工程建设相关法律、规范、标准的中外文互译。</w:t>
      </w:r>
    </w:p>
    <w:p w:rsidR="002A5084" w:rsidRPr="00E04920" w:rsidRDefault="003B463F" w:rsidP="00E04920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hAnsi="Times New Roman" w:cs="Times New Roman"/>
          <w:color w:val="464646"/>
          <w:sz w:val="32"/>
          <w:szCs w:val="32"/>
        </w:rPr>
      </w:pPr>
      <w:r>
        <w:rPr>
          <w:rFonts w:ascii="楷体" w:eastAsia="楷体" w:cs="Times New Roman" w:hint="eastAsia"/>
          <w:b/>
          <w:color w:val="464646"/>
          <w:sz w:val="32"/>
          <w:szCs w:val="32"/>
        </w:rPr>
        <w:t>（六</w:t>
      </w:r>
      <w:r w:rsidR="00F12A2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）</w:t>
      </w:r>
      <w:r w:rsidR="00B441BF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鼓励带动上下游产业“走出去”</w:t>
      </w:r>
      <w:r w:rsidR="00C314FE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B91E89" w:rsidRPr="00B91E89">
        <w:rPr>
          <w:rFonts w:eastAsia="仿宋_GB2312" w:hint="eastAsia"/>
          <w:sz w:val="32"/>
          <w:szCs w:val="32"/>
        </w:rPr>
        <w:t>支持对外承包工程企业通过新设、收购、控股等方式</w:t>
      </w:r>
      <w:r w:rsidR="00F444DA">
        <w:rPr>
          <w:rFonts w:eastAsia="仿宋_GB2312" w:hint="eastAsia"/>
          <w:sz w:val="32"/>
          <w:szCs w:val="32"/>
        </w:rPr>
        <w:t>在境外投资合作，</w:t>
      </w:r>
      <w:r w:rsidR="00B91E89" w:rsidRPr="00B91E89">
        <w:rPr>
          <w:rFonts w:eastAsia="仿宋_GB2312" w:hint="eastAsia"/>
          <w:sz w:val="32"/>
          <w:szCs w:val="32"/>
        </w:rPr>
        <w:t>注册设立</w:t>
      </w:r>
      <w:r w:rsidR="003D17A4">
        <w:rPr>
          <w:rFonts w:eastAsia="仿宋_GB2312" w:hint="eastAsia"/>
          <w:sz w:val="32"/>
          <w:szCs w:val="32"/>
        </w:rPr>
        <w:t>境外</w:t>
      </w:r>
      <w:r w:rsidR="00B91E89" w:rsidRPr="00B91E89">
        <w:rPr>
          <w:rFonts w:eastAsia="仿宋_GB2312" w:hint="eastAsia"/>
          <w:sz w:val="32"/>
          <w:szCs w:val="32"/>
        </w:rPr>
        <w:t>工程承包企业，获取当地各类投标承包许可。</w:t>
      </w:r>
      <w:r w:rsidR="00B91E89">
        <w:rPr>
          <w:rFonts w:ascii="仿宋_GB2312" w:eastAsia="仿宋_GB2312" w:cs="Times New Roman" w:hint="eastAsia"/>
          <w:color w:val="464646"/>
          <w:sz w:val="32"/>
          <w:szCs w:val="32"/>
        </w:rPr>
        <w:t>鼓励企业</w:t>
      </w:r>
      <w:r w:rsidR="00E04920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利用项目所在国的要素资源，积极拉伸、延长产业链</w:t>
      </w:r>
      <w:r w:rsidR="00F444DA">
        <w:rPr>
          <w:rFonts w:ascii="仿宋_GB2312" w:eastAsia="仿宋_GB2312" w:cs="Times New Roman" w:hint="eastAsia"/>
          <w:color w:val="464646"/>
          <w:sz w:val="32"/>
          <w:szCs w:val="32"/>
        </w:rPr>
        <w:t>。</w:t>
      </w:r>
      <w:r w:rsidR="00E04920" w:rsidRPr="00CC1D68">
        <w:rPr>
          <w:rFonts w:ascii="仿宋_GB2312" w:eastAsia="仿宋_GB2312" w:cs="Times New Roman" w:hint="eastAsia"/>
          <w:color w:val="464646"/>
          <w:sz w:val="32"/>
          <w:szCs w:val="32"/>
        </w:rPr>
        <w:lastRenderedPageBreak/>
        <w:t>结合建筑产业现代化，引导建筑企业与相关建筑材料供应商、产品制造商合作，共同推进与工程项目相配套的产品加工生产，带动成套设备、技术标准及服务出口。</w:t>
      </w:r>
    </w:p>
    <w:p w:rsidR="008E7AF8" w:rsidRPr="00CC1D68" w:rsidRDefault="008E7AF8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黑体" w:eastAsia="黑体" w:cs="Times New Roman"/>
          <w:color w:val="464646"/>
          <w:sz w:val="32"/>
          <w:szCs w:val="32"/>
        </w:rPr>
      </w:pPr>
      <w:r w:rsidRPr="00CC1D68">
        <w:rPr>
          <w:rFonts w:ascii="黑体" w:eastAsia="黑体" w:cs="Times New Roman" w:hint="eastAsia"/>
          <w:color w:val="464646"/>
          <w:sz w:val="32"/>
          <w:szCs w:val="32"/>
        </w:rPr>
        <w:t>三、</w:t>
      </w:r>
      <w:r w:rsidR="001A2CEF" w:rsidRPr="00CC1D68">
        <w:rPr>
          <w:rFonts w:ascii="黑体" w:eastAsia="黑体" w:cs="Times New Roman" w:hint="eastAsia"/>
          <w:color w:val="464646"/>
          <w:sz w:val="32"/>
          <w:szCs w:val="32"/>
        </w:rPr>
        <w:t>工作举措</w:t>
      </w:r>
    </w:p>
    <w:p w:rsidR="00D75BBE" w:rsidRPr="00EC6646" w:rsidRDefault="00D75BBE" w:rsidP="001761CB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（一）加强统筹指导和协调</w:t>
      </w:r>
      <w:r w:rsidR="008075B4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8075B4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各级商务、住房城乡建设部门要</w:t>
      </w:r>
      <w:r w:rsidR="001761CB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积极</w:t>
      </w:r>
      <w:r w:rsidR="008075B4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与金融、保险等部门建立</w:t>
      </w:r>
      <w:r w:rsidR="001761CB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工作</w:t>
      </w:r>
      <w:r w:rsidR="008075B4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机制，为重点工程项目的推进、政策沟通、信息交流</w:t>
      </w:r>
      <w:r w:rsidR="001761CB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加强指导</w:t>
      </w:r>
      <w:r w:rsidR="008075B4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、提供服务。要充分发挥商务部双边经贸合作机制和沟通渠道的作用，积极</w:t>
      </w:r>
      <w:r w:rsidR="001761CB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与我</w:t>
      </w:r>
      <w:r w:rsidR="008075B4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驻外使（领）馆经商（参）处、中国对外承包工程商会等部门沟通，帮助我省建筑企业解决在境外承包工程过程中遇到的困难、障碍、壁垒等实际问题。</w:t>
      </w:r>
    </w:p>
    <w:p w:rsidR="00B40934" w:rsidRDefault="00D75BBE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（二）加大政策支持</w:t>
      </w:r>
      <w:r w:rsidR="00C0517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扶持力度</w:t>
      </w:r>
      <w:r w:rsidR="001761CB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5545A6" w:rsidRPr="005545A6">
        <w:rPr>
          <w:rFonts w:ascii="仿宋_GB2312" w:eastAsia="仿宋_GB2312" w:cs="Times New Roman" w:hint="eastAsia"/>
          <w:color w:val="464646"/>
          <w:sz w:val="32"/>
          <w:szCs w:val="32"/>
        </w:rPr>
        <w:t>强化政策导向、突出支持重点，</w:t>
      </w:r>
      <w:r w:rsidR="001761CB" w:rsidRPr="00CC1D68">
        <w:rPr>
          <w:rFonts w:ascii="仿宋_GB2312" w:eastAsia="仿宋_GB2312" w:cs="Times New Roman" w:hint="eastAsia"/>
          <w:color w:val="464646"/>
          <w:sz w:val="32"/>
          <w:szCs w:val="32"/>
        </w:rPr>
        <w:t>统筹运用国家外经贸发展资金和省级商务发展专项资金，对我省</w:t>
      </w:r>
      <w:r w:rsidR="00B40934">
        <w:rPr>
          <w:rFonts w:ascii="仿宋_GB2312" w:eastAsia="仿宋_GB2312" w:cs="Times New Roman" w:hint="eastAsia"/>
          <w:color w:val="464646"/>
          <w:sz w:val="32"/>
          <w:szCs w:val="32"/>
        </w:rPr>
        <w:t>对外承包工程完成营业额、贷款贴息、保函手续费、投保出口信用保险的保费等进行统筹考虑，给予财政资金的扶持。</w:t>
      </w:r>
      <w:r w:rsidR="00C26414">
        <w:rPr>
          <w:rFonts w:ascii="仿宋_GB2312" w:eastAsia="仿宋_GB2312" w:cs="Times New Roman" w:hint="eastAsia"/>
          <w:color w:val="464646"/>
          <w:sz w:val="32"/>
          <w:szCs w:val="32"/>
        </w:rPr>
        <w:t>鼓励企业通过实施国际工程带动省内设备、原材料出口，加强海关、商检、税务等部门协调，为出口提供便利。</w:t>
      </w:r>
    </w:p>
    <w:p w:rsidR="00F12A25" w:rsidRPr="00EC6646" w:rsidRDefault="0080308C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（三）</w:t>
      </w:r>
      <w:r w:rsidR="00CB0D84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完善</w:t>
      </w:r>
      <w:r w:rsidR="00F12A2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金融服务和对接</w:t>
      </w:r>
      <w:r w:rsidR="00F444DA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proofErr w:type="gramStart"/>
      <w:r w:rsidR="00CB0D84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建立政银企</w:t>
      </w:r>
      <w:proofErr w:type="gramEnd"/>
      <w:r w:rsidR="00CB0D84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联席协商机制，定期沟通重点工程项目进展和融资需求，实现银企合作共赢。鼓励我省建筑强市、县根据实际需要，设立对外承包工程保函风险专项资金，帮助建筑企业解决在实施对外承包工程项</w:t>
      </w:r>
      <w:r w:rsidR="00CB0D84" w:rsidRPr="00EC6646">
        <w:rPr>
          <w:rFonts w:ascii="仿宋_GB2312" w:eastAsia="仿宋_GB2312" w:cs="Times New Roman" w:hint="eastAsia"/>
          <w:color w:val="464646"/>
          <w:sz w:val="32"/>
          <w:szCs w:val="32"/>
        </w:rPr>
        <w:lastRenderedPageBreak/>
        <w:t>目中开具投标、履约、预付款保函担保问题。鼓励金融机构积极研究对境外承包工程企业实施差别化信贷政策，对实力强、信誉好的建筑企业开展境外承包工程项目，提供人民币中长期贷款和外汇周转贷款支持。对EPC、PPP等工程项目，可通过封闭贷款、担保贷款、信用证、保函等多种形式满足企业融资需求。</w:t>
      </w:r>
      <w:r w:rsidR="002D2DF6">
        <w:rPr>
          <w:rFonts w:ascii="仿宋_GB2312" w:eastAsia="仿宋_GB2312" w:cs="Times New Roman" w:hint="eastAsia"/>
          <w:color w:val="464646"/>
          <w:sz w:val="32"/>
          <w:szCs w:val="32"/>
        </w:rPr>
        <w:t>发挥浙江丝路产业投资基金作用，支持我省</w:t>
      </w:r>
      <w:r w:rsidR="00D20B2C">
        <w:rPr>
          <w:rFonts w:ascii="仿宋_GB2312" w:eastAsia="仿宋_GB2312" w:cs="Times New Roman" w:hint="eastAsia"/>
          <w:color w:val="464646"/>
          <w:sz w:val="32"/>
          <w:szCs w:val="32"/>
        </w:rPr>
        <w:t>对外承包工程建设。</w:t>
      </w:r>
    </w:p>
    <w:p w:rsidR="0080308C" w:rsidRPr="004F7AFE" w:rsidRDefault="00F12A25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eastAsia="仿宋_GB2312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（四）</w:t>
      </w:r>
      <w:r w:rsidR="0080308C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强化安全保障机制</w:t>
      </w:r>
      <w:r w:rsidR="00C0517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建立</w:t>
      </w:r>
      <w:r w:rsidR="004F7AFE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3147AE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在</w:t>
      </w:r>
      <w:r w:rsidR="004F7AFE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省“走出去”工作领导小组的指导下，加强国别、地区的风险评估，及时发布风险预警信息，</w:t>
      </w:r>
      <w:r w:rsidR="00F70441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加强对外承包工程安全生产的监督、管理、检查和指导，</w:t>
      </w:r>
      <w:r w:rsidR="004F7AFE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牵头开展境外安全风险预警</w:t>
      </w:r>
      <w:r w:rsidR="003147AE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、</w:t>
      </w:r>
      <w:r w:rsidR="004F7AFE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咨询、培训、处置等相关工作</w:t>
      </w:r>
      <w:r w:rsidR="00F70441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，主动探索和完善安全生产和风险防范长效机制</w:t>
      </w:r>
      <w:r w:rsidR="004F7AFE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。</w:t>
      </w:r>
      <w:r w:rsidR="004F7AFE">
        <w:rPr>
          <w:rFonts w:eastAsia="仿宋_GB2312" w:hint="eastAsia"/>
          <w:sz w:val="32"/>
          <w:szCs w:val="32"/>
        </w:rPr>
        <w:t>各地和建筑企业</w:t>
      </w:r>
      <w:r w:rsidR="003147AE">
        <w:rPr>
          <w:rFonts w:eastAsia="仿宋_GB2312" w:hint="eastAsia"/>
          <w:sz w:val="32"/>
          <w:szCs w:val="32"/>
        </w:rPr>
        <w:t>应当</w:t>
      </w:r>
      <w:r w:rsidR="004F7AFE">
        <w:rPr>
          <w:rFonts w:eastAsia="仿宋_GB2312" w:hint="eastAsia"/>
          <w:sz w:val="32"/>
          <w:szCs w:val="32"/>
        </w:rPr>
        <w:t>建立</w:t>
      </w:r>
      <w:r w:rsidR="003147AE">
        <w:rPr>
          <w:rFonts w:eastAsia="仿宋_GB2312" w:hint="eastAsia"/>
          <w:sz w:val="32"/>
          <w:szCs w:val="32"/>
        </w:rPr>
        <w:t>“走出去”安全风险应急处置工作机制，并组织演练。</w:t>
      </w:r>
    </w:p>
    <w:p w:rsidR="008E7AF8" w:rsidRPr="00CC1D68" w:rsidRDefault="001A2CEF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黑体" w:eastAsia="黑体" w:cs="Times New Roman"/>
          <w:color w:val="464646"/>
          <w:sz w:val="32"/>
          <w:szCs w:val="32"/>
        </w:rPr>
      </w:pPr>
      <w:r w:rsidRPr="00CC1D68">
        <w:rPr>
          <w:rFonts w:ascii="黑体" w:eastAsia="黑体" w:cs="Times New Roman" w:hint="eastAsia"/>
          <w:color w:val="464646"/>
          <w:sz w:val="32"/>
          <w:szCs w:val="32"/>
        </w:rPr>
        <w:t>四、</w:t>
      </w:r>
      <w:r w:rsidR="00F12A25" w:rsidRPr="00CC1D68">
        <w:rPr>
          <w:rFonts w:ascii="黑体" w:eastAsia="黑体" w:cs="Times New Roman" w:hint="eastAsia"/>
          <w:color w:val="464646"/>
          <w:sz w:val="32"/>
          <w:szCs w:val="32"/>
        </w:rPr>
        <w:t>组织保障</w:t>
      </w:r>
    </w:p>
    <w:p w:rsidR="00B441BF" w:rsidRPr="00EC6646" w:rsidRDefault="00F12A25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（一）</w:t>
      </w:r>
      <w:r w:rsidR="00B441BF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加强组织领导</w:t>
      </w:r>
      <w:r w:rsidR="0043744F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02460D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建立由省商务厅、省</w:t>
      </w:r>
      <w:r w:rsidR="001337BB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建设</w:t>
      </w:r>
      <w:r w:rsidR="0002460D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厅</w:t>
      </w:r>
      <w:r w:rsidR="001337BB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双牵头的我省对外承包工程协调工作机制。加强</w:t>
      </w:r>
      <w:r w:rsidR="00C221FC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对建筑业开拓国际工程市场，参与“一带一路”基础设施互联互通建设等问题进行研究和协调，定期召开专题会议，听取汇报，研究对策。</w:t>
      </w:r>
    </w:p>
    <w:p w:rsidR="008E7AF8" w:rsidRPr="00EC6646" w:rsidRDefault="00B441BF" w:rsidP="0008023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（二）</w:t>
      </w:r>
      <w:r w:rsidR="00F12A2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加强人才队伍建设</w:t>
      </w:r>
      <w:r w:rsidR="00687AE7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687AE7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重视国际工程项目经营人才的培养与引进，</w:t>
      </w:r>
      <w:r w:rsidR="003C473F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鼓励企业通过境外项目实施培养懂经营、会</w:t>
      </w:r>
      <w:r w:rsidR="003C473F" w:rsidRPr="00EC6646">
        <w:rPr>
          <w:rFonts w:ascii="仿宋_GB2312" w:eastAsia="仿宋_GB2312" w:cs="Times New Roman" w:hint="eastAsia"/>
          <w:color w:val="464646"/>
          <w:sz w:val="32"/>
          <w:szCs w:val="32"/>
        </w:rPr>
        <w:lastRenderedPageBreak/>
        <w:t>管理的专业人才，引进经验丰富的项目经理和设计、采购、施工等方面的核心管理人员，选派素质过硬、有技术专长的人员到国外学习锻炼，建立高端人才储备库，以来锻炼和培养各类专业人才。建立以</w:t>
      </w:r>
      <w:r w:rsidR="00742FC2">
        <w:rPr>
          <w:rFonts w:ascii="仿宋_GB2312" w:eastAsia="仿宋_GB2312" w:cs="Times New Roman" w:hint="eastAsia"/>
          <w:color w:val="464646"/>
          <w:sz w:val="32"/>
          <w:szCs w:val="32"/>
        </w:rPr>
        <w:t>对外承包工程</w:t>
      </w:r>
      <w:r w:rsidR="003C473F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商会为平台</w:t>
      </w:r>
      <w:r w:rsidR="00742FC2">
        <w:rPr>
          <w:rFonts w:ascii="仿宋_GB2312" w:eastAsia="仿宋_GB2312" w:cs="Times New Roman" w:hint="eastAsia"/>
          <w:color w:val="464646"/>
          <w:sz w:val="32"/>
          <w:szCs w:val="32"/>
        </w:rPr>
        <w:t>，以清华长三角研究院、浙江大学等科研教育机构为依托</w:t>
      </w:r>
      <w:r w:rsidR="003C473F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的国际工程经营管理知识培训和经验交流的机制，为建筑企业提供人才支撑。</w:t>
      </w:r>
    </w:p>
    <w:p w:rsidR="00F12A25" w:rsidRDefault="00B441BF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（三）</w:t>
      </w:r>
      <w:r w:rsidR="00F12A25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发挥行业协会作用</w:t>
      </w:r>
      <w:r w:rsidR="00687AE7" w:rsidRPr="00C55B83">
        <w:rPr>
          <w:rFonts w:ascii="楷体" w:eastAsia="楷体" w:cs="Times New Roman" w:hint="eastAsia"/>
          <w:b/>
          <w:color w:val="464646"/>
          <w:sz w:val="32"/>
          <w:szCs w:val="32"/>
        </w:rPr>
        <w:t>。</w:t>
      </w:r>
      <w:r w:rsidR="00687AE7" w:rsidRPr="00EC6646">
        <w:rPr>
          <w:rFonts w:ascii="仿宋_GB2312" w:eastAsia="仿宋_GB2312" w:cs="Times New Roman" w:hint="eastAsia"/>
          <w:color w:val="464646"/>
          <w:sz w:val="32"/>
          <w:szCs w:val="32"/>
        </w:rPr>
        <w:t>支持各级建筑行业相关协会发挥信息搜集、人才培训、业务咨询等服务功能，组织专家开展国内外工程建设相关法律、规范、标准的中外文互译。建立境外工程承包企业联谊交流机制，帮助企业了解掌握国内外建筑市场最新动态。建立国际工程法律顾问团，帮助“走出去”建筑企业开展国际工程法律纠纷援助。积极引导“走出去”企业加强联合协作和行业自律，避免无序竞争。</w:t>
      </w: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</w:p>
    <w:p w:rsidR="00744ABE" w:rsidRDefault="00744ABE" w:rsidP="00744AB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>
        <w:rPr>
          <w:rFonts w:ascii="仿宋_GB2312" w:eastAsia="仿宋_GB2312" w:cs="Times New Roman" w:hint="eastAsia"/>
          <w:color w:val="464646"/>
          <w:sz w:val="32"/>
          <w:szCs w:val="32"/>
        </w:rPr>
        <w:t>附件：1.</w:t>
      </w:r>
      <w:r w:rsidRPr="00744ABE">
        <w:rPr>
          <w:rFonts w:ascii="仿宋_GB2312" w:eastAsia="仿宋_GB2312" w:cs="Times New Roman" w:hint="eastAsia"/>
          <w:color w:val="464646"/>
          <w:sz w:val="32"/>
          <w:szCs w:val="32"/>
        </w:rPr>
        <w:t>建筑业“走出去”发展三年行动计划（2018-2020年）目标进度表</w:t>
      </w:r>
    </w:p>
    <w:p w:rsidR="00744ABE" w:rsidRDefault="00744ABE" w:rsidP="00744AB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>
        <w:rPr>
          <w:rFonts w:ascii="仿宋_GB2312" w:eastAsia="仿宋_GB2312" w:cs="Times New Roman" w:hint="eastAsia"/>
          <w:color w:val="464646"/>
          <w:sz w:val="32"/>
          <w:szCs w:val="32"/>
        </w:rPr>
        <w:t>2.</w:t>
      </w:r>
      <w:r w:rsidRPr="00744ABE">
        <w:rPr>
          <w:rFonts w:ascii="仿宋_GB2312" w:eastAsia="仿宋_GB2312" w:cs="Times New Roman" w:hint="eastAsia"/>
          <w:color w:val="464646"/>
          <w:sz w:val="32"/>
          <w:szCs w:val="32"/>
        </w:rPr>
        <w:t>建筑业“走出去”发展三年行动计划重点工作清单（2018-2020年）</w:t>
      </w: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</w:p>
    <w:p w:rsidR="00744ABE" w:rsidRDefault="00744ABE" w:rsidP="00744AB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ectPr w:rsidR="00744AB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>
        <w:rPr>
          <w:rFonts w:ascii="仿宋_GB2312" w:eastAsia="仿宋_GB2312" w:cs="Times New Roman" w:hint="eastAsia"/>
          <w:color w:val="464646"/>
          <w:sz w:val="32"/>
          <w:szCs w:val="32"/>
        </w:rPr>
        <w:lastRenderedPageBreak/>
        <w:t>附件1</w:t>
      </w:r>
    </w:p>
    <w:p w:rsidR="00137EC1" w:rsidRDefault="00137EC1" w:rsidP="00744AB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center"/>
        <w:rPr>
          <w:rFonts w:ascii="仿宋_GB2312" w:eastAsia="仿宋_GB2312" w:cs="Times New Roman"/>
          <w:b/>
          <w:color w:val="464646"/>
          <w:sz w:val="36"/>
          <w:szCs w:val="36"/>
        </w:rPr>
      </w:pPr>
    </w:p>
    <w:p w:rsidR="00744ABE" w:rsidRPr="00744ABE" w:rsidRDefault="00744ABE" w:rsidP="00744AB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center"/>
        <w:rPr>
          <w:rFonts w:ascii="仿宋_GB2312" w:eastAsia="仿宋_GB2312" w:cs="Times New Roman"/>
          <w:b/>
          <w:color w:val="464646"/>
          <w:sz w:val="36"/>
          <w:szCs w:val="36"/>
        </w:rPr>
      </w:pPr>
      <w:r w:rsidRPr="00744ABE">
        <w:rPr>
          <w:rFonts w:ascii="仿宋_GB2312" w:eastAsia="仿宋_GB2312" w:cs="Times New Roman" w:hint="eastAsia"/>
          <w:b/>
          <w:color w:val="464646"/>
          <w:sz w:val="36"/>
          <w:szCs w:val="36"/>
        </w:rPr>
        <w:t>建筑业“走出去”发展三年行动计划（2018-2020年）目标进度表</w:t>
      </w: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</w:p>
    <w:tbl>
      <w:tblPr>
        <w:tblW w:w="12899" w:type="dxa"/>
        <w:tblInd w:w="250" w:type="dxa"/>
        <w:tblLook w:val="04A0" w:firstRow="1" w:lastRow="0" w:firstColumn="1" w:lastColumn="0" w:noHBand="0" w:noVBand="1"/>
      </w:tblPr>
      <w:tblGrid>
        <w:gridCol w:w="2835"/>
        <w:gridCol w:w="1276"/>
        <w:gridCol w:w="2976"/>
        <w:gridCol w:w="2977"/>
        <w:gridCol w:w="2835"/>
      </w:tblGrid>
      <w:tr w:rsidR="00D12BCB" w:rsidRPr="00744ABE" w:rsidTr="00D12BCB">
        <w:trPr>
          <w:trHeight w:val="6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744ABE" w:rsidRDefault="00D12BCB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主要目标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744ABE" w:rsidRDefault="00D12BCB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责任单位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BCB" w:rsidRPr="00744ABE" w:rsidRDefault="00D12BCB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进度安排</w:t>
            </w:r>
          </w:p>
        </w:tc>
      </w:tr>
      <w:tr w:rsidR="00D12BCB" w:rsidRPr="00744ABE" w:rsidTr="00D12BCB">
        <w:trPr>
          <w:trHeight w:val="7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BCB" w:rsidRPr="00744ABE" w:rsidRDefault="00D12BCB" w:rsidP="00744A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BCB" w:rsidRPr="00744ABE" w:rsidRDefault="00D12BCB" w:rsidP="00744AB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744ABE" w:rsidRDefault="00D12BCB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2018年度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744ABE" w:rsidRDefault="00D12BCB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2019年度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744ABE" w:rsidRDefault="00D12BCB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2020年度</w:t>
            </w:r>
          </w:p>
        </w:tc>
      </w:tr>
      <w:tr w:rsidR="00D12BCB" w:rsidRPr="00744ABE" w:rsidTr="00D12BCB">
        <w:trPr>
          <w:trHeight w:val="189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D12BCB" w:rsidRDefault="00D12BCB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到2020年底，全省境外承包工程营业额达到85亿美元以上，培育4家对外承包工程企业进入ENR国际承包商250强和国际工程设计企业225强，形成一批工程总承包企业和国际市场竞争力强的外向型建筑企业。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D12BCB" w:rsidRDefault="00D12BCB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省商务厅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D12BCB" w:rsidRDefault="00D12BCB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力争对外承包工程营业额达到75亿美元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D12BCB" w:rsidRDefault="00D12BCB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力争对外承包工程营业额达到80亿美元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D12BCB" w:rsidRDefault="00D12BCB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力争对外承包工程营业额85亿美元</w:t>
            </w:r>
          </w:p>
        </w:tc>
      </w:tr>
      <w:tr w:rsidR="00D12BCB" w:rsidRPr="00744ABE" w:rsidTr="00D12BCB">
        <w:trPr>
          <w:trHeight w:val="189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BCB" w:rsidRPr="00D12BCB" w:rsidRDefault="00D12BCB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D12BCB" w:rsidRDefault="00D12BCB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省建设厅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D12BCB" w:rsidRDefault="00D12BCB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确定10家左右对外承包培育企业，实施精准施策，重点扶持，确保有2家对外承包工程企业进入ENR国际承包商250强。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D12BCB" w:rsidRDefault="00D12BCB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在确保有2家对外承包工程企业进入ENR国际承包商250强基础上，新增1家企业进入国际工程设计企业225强。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CB" w:rsidRPr="00D12BCB" w:rsidRDefault="00D12BCB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共培育4家对外承包工程企业进入ENR国际承包商250强和国际工程设计企业225强。</w:t>
            </w:r>
          </w:p>
        </w:tc>
      </w:tr>
    </w:tbl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  <w:r>
        <w:rPr>
          <w:rFonts w:ascii="仿宋_GB2312" w:eastAsia="仿宋_GB2312" w:cs="Times New Roman" w:hint="eastAsia"/>
          <w:color w:val="464646"/>
          <w:sz w:val="32"/>
          <w:szCs w:val="32"/>
        </w:rPr>
        <w:t>附件2</w:t>
      </w:r>
    </w:p>
    <w:p w:rsidR="00744ABE" w:rsidRDefault="00744ABE" w:rsidP="003C473F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both"/>
        <w:rPr>
          <w:rFonts w:ascii="仿宋_GB2312" w:eastAsia="仿宋_GB2312" w:cs="Times New Roman"/>
          <w:color w:val="464646"/>
          <w:sz w:val="32"/>
          <w:szCs w:val="32"/>
        </w:rPr>
      </w:pPr>
    </w:p>
    <w:p w:rsidR="00744ABE" w:rsidRDefault="00744ABE" w:rsidP="00744AB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center"/>
        <w:rPr>
          <w:rFonts w:ascii="仿宋_GB2312" w:eastAsia="仿宋_GB2312" w:cs="Times New Roman"/>
          <w:b/>
          <w:color w:val="464646"/>
          <w:sz w:val="36"/>
          <w:szCs w:val="36"/>
        </w:rPr>
      </w:pPr>
      <w:r w:rsidRPr="00744ABE">
        <w:rPr>
          <w:rFonts w:ascii="仿宋_GB2312" w:eastAsia="仿宋_GB2312" w:cs="Times New Roman" w:hint="eastAsia"/>
          <w:b/>
          <w:color w:val="464646"/>
          <w:sz w:val="36"/>
          <w:szCs w:val="36"/>
        </w:rPr>
        <w:t>建筑业“走出去”发展三年行动计划重点工作清单（2018-2020年）</w:t>
      </w:r>
    </w:p>
    <w:p w:rsidR="00744ABE" w:rsidRDefault="00744ABE" w:rsidP="00744ABE">
      <w:pPr>
        <w:pStyle w:val="a3"/>
        <w:shd w:val="clear" w:color="auto" w:fill="FFFFFF"/>
        <w:spacing w:before="0" w:beforeAutospacing="0" w:after="0" w:afterAutospacing="0" w:line="590" w:lineRule="atLeast"/>
        <w:ind w:firstLine="624"/>
        <w:jc w:val="center"/>
        <w:rPr>
          <w:rFonts w:ascii="仿宋_GB2312" w:eastAsia="仿宋_GB2312" w:cs="Times New Roman"/>
          <w:b/>
          <w:color w:val="464646"/>
          <w:sz w:val="36"/>
          <w:szCs w:val="36"/>
        </w:rPr>
      </w:pPr>
    </w:p>
    <w:tbl>
      <w:tblPr>
        <w:tblW w:w="13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5640"/>
        <w:gridCol w:w="1280"/>
        <w:gridCol w:w="1280"/>
        <w:gridCol w:w="1280"/>
        <w:gridCol w:w="1280"/>
      </w:tblGrid>
      <w:tr w:rsidR="00744ABE" w:rsidRPr="00744ABE" w:rsidTr="00744ABE">
        <w:trPr>
          <w:trHeight w:val="600"/>
          <w:jc w:val="center"/>
        </w:trPr>
        <w:tc>
          <w:tcPr>
            <w:tcW w:w="2252" w:type="dxa"/>
            <w:shd w:val="clear" w:color="auto" w:fill="auto"/>
            <w:vAlign w:val="center"/>
            <w:hideMark/>
          </w:tcPr>
          <w:p w:rsidR="00744ABE" w:rsidRPr="00744ABE" w:rsidRDefault="00744ABE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工作事项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44ABE" w:rsidRPr="00744ABE" w:rsidRDefault="00744ABE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主要内容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744ABE" w:rsidRDefault="00744ABE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牵头单位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744ABE" w:rsidRDefault="00744ABE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责任单位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744ABE" w:rsidRDefault="00744ABE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启动时间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744ABE" w:rsidRDefault="00744ABE" w:rsidP="00744A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4A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完成时间</w:t>
            </w:r>
          </w:p>
        </w:tc>
      </w:tr>
      <w:tr w:rsidR="00744ABE" w:rsidRPr="00744ABE" w:rsidTr="00744ABE">
        <w:trPr>
          <w:trHeight w:val="2340"/>
          <w:jc w:val="center"/>
        </w:trPr>
        <w:tc>
          <w:tcPr>
            <w:tcW w:w="2252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培育和壮大主体队伍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1.对以房屋建筑为主的对外承包工程骨干企业申请市政、交通、水利等基础设施施工二级资质的，给予政策倾斜支持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2.大力发展钢结构、装饰、环保、智能化等新兴领域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3.加强绩效评估考核，到2020年底培育4家对外承包工程企业进入ENR国际承包商250强和国际工程设计企业225强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省建设厅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省商务厅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744ABE" w:rsidRPr="00744ABE" w:rsidTr="00744ABE">
        <w:trPr>
          <w:trHeight w:val="1999"/>
          <w:jc w:val="center"/>
        </w:trPr>
        <w:tc>
          <w:tcPr>
            <w:tcW w:w="2252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拓展国际工程市场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1.支持对外承包工程企业对接央企，拓展国际市场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2.开展援外项目对接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3.开展与省内境外经贸合作园区等项目对接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省商务厅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省建设厅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744ABE" w:rsidRPr="00744ABE" w:rsidTr="00744ABE">
        <w:trPr>
          <w:trHeight w:val="1999"/>
          <w:jc w:val="center"/>
        </w:trPr>
        <w:tc>
          <w:tcPr>
            <w:tcW w:w="2252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大力推行工程总承包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1.构建工程承包商体系和全过程咨询服务体系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2.推进PMC、EPC项目，鼓励对外承包工程企业承揽高质量基础设施项目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省建设厅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省商务厅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744ABE" w:rsidRPr="00744ABE" w:rsidTr="00744ABE">
        <w:trPr>
          <w:trHeight w:val="1999"/>
          <w:jc w:val="center"/>
        </w:trPr>
        <w:tc>
          <w:tcPr>
            <w:tcW w:w="2252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鼓励企业“联盟拓市”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1.构建“投融资联盟”、“总承包联盟”、“供应服务商联盟”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2.实施建营一体化，推进一批在沿线国家具有影响力的大工程、大项目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3.推动我省工程承包企业转型为综合承包服务商、机电装备出口企业转型为系统集成商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省商务厅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省建设厅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744ABE" w:rsidRPr="00744ABE" w:rsidTr="00744ABE">
        <w:trPr>
          <w:trHeight w:val="1999"/>
          <w:jc w:val="center"/>
        </w:trPr>
        <w:tc>
          <w:tcPr>
            <w:tcW w:w="2252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加强标准引领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1.开展工程建设领域中外标准对比研究工作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 w:type="page"/>
              <w:t>2.加大我省企业标准的宣传推广工作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 w:type="page"/>
              <w:t>3.开展国际标准认证、交流活动，组织专家开展国内外工程建设相关法律、规范、标准的中外文互译活动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省建设厅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省商务厅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744ABE" w:rsidRPr="00744ABE" w:rsidTr="00744ABE">
        <w:trPr>
          <w:trHeight w:val="1999"/>
          <w:jc w:val="center"/>
        </w:trPr>
        <w:tc>
          <w:tcPr>
            <w:tcW w:w="2252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鼓励带动上下游产业“走出去”</w:t>
            </w:r>
          </w:p>
        </w:tc>
        <w:tc>
          <w:tcPr>
            <w:tcW w:w="564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1.推进对外承包工程企业的境外投资合作，设立境外工程承包企业</w:t>
            </w: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2.引导建筑企业与相关建筑材料供应商、产品制造商合作，带动成套设备、技术标准及服务出口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省商务厅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省建设厅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4ABE" w:rsidRPr="00D12BCB" w:rsidRDefault="00744ABE" w:rsidP="00744A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12BC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</w:t>
            </w:r>
          </w:p>
        </w:tc>
      </w:tr>
    </w:tbl>
    <w:p w:rsidR="00744ABE" w:rsidRPr="00744ABE" w:rsidRDefault="00744ABE" w:rsidP="00744ABE">
      <w:pPr>
        <w:pStyle w:val="a3"/>
        <w:shd w:val="clear" w:color="auto" w:fill="FFFFFF"/>
        <w:spacing w:before="0" w:beforeAutospacing="0" w:after="0" w:afterAutospacing="0" w:line="590" w:lineRule="atLeast"/>
        <w:rPr>
          <w:rFonts w:ascii="仿宋_GB2312" w:eastAsia="仿宋_GB2312" w:cs="Times New Roman"/>
          <w:b/>
          <w:color w:val="464646"/>
          <w:sz w:val="36"/>
          <w:szCs w:val="36"/>
        </w:rPr>
      </w:pPr>
    </w:p>
    <w:sectPr w:rsidR="00744ABE" w:rsidRPr="00744ABE" w:rsidSect="00137EC1">
      <w:pgSz w:w="16838" w:h="11906" w:orient="landscape"/>
      <w:pgMar w:top="1701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F7" w:rsidRDefault="00237FF7" w:rsidP="00CE2857">
      <w:r>
        <w:separator/>
      </w:r>
    </w:p>
  </w:endnote>
  <w:endnote w:type="continuationSeparator" w:id="0">
    <w:p w:rsidR="00237FF7" w:rsidRDefault="00237FF7" w:rsidP="00CE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956482"/>
      <w:docPartObj>
        <w:docPartGallery w:val="Page Numbers (Bottom of Page)"/>
        <w:docPartUnique/>
      </w:docPartObj>
    </w:sdtPr>
    <w:sdtEndPr/>
    <w:sdtContent>
      <w:p w:rsidR="00744ABE" w:rsidRDefault="00744A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8D" w:rsidRPr="008C248D">
          <w:rPr>
            <w:noProof/>
            <w:lang w:val="zh-CN"/>
          </w:rPr>
          <w:t>3</w:t>
        </w:r>
        <w:r>
          <w:fldChar w:fldCharType="end"/>
        </w:r>
      </w:p>
    </w:sdtContent>
  </w:sdt>
  <w:p w:rsidR="00744ABE" w:rsidRDefault="00744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F7" w:rsidRDefault="00237FF7" w:rsidP="00CE2857">
      <w:r>
        <w:separator/>
      </w:r>
    </w:p>
  </w:footnote>
  <w:footnote w:type="continuationSeparator" w:id="0">
    <w:p w:rsidR="00237FF7" w:rsidRDefault="00237FF7" w:rsidP="00CE2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E"/>
    <w:rsid w:val="0002460D"/>
    <w:rsid w:val="000501F7"/>
    <w:rsid w:val="0008023E"/>
    <w:rsid w:val="000E27DB"/>
    <w:rsid w:val="00113112"/>
    <w:rsid w:val="001337BB"/>
    <w:rsid w:val="00137EC1"/>
    <w:rsid w:val="001761CB"/>
    <w:rsid w:val="001A2CEF"/>
    <w:rsid w:val="001A6D98"/>
    <w:rsid w:val="001E70D7"/>
    <w:rsid w:val="001F32E6"/>
    <w:rsid w:val="00237FF7"/>
    <w:rsid w:val="002A5084"/>
    <w:rsid w:val="002D2DF6"/>
    <w:rsid w:val="003147AE"/>
    <w:rsid w:val="00336642"/>
    <w:rsid w:val="00366C67"/>
    <w:rsid w:val="003B463F"/>
    <w:rsid w:val="003C473F"/>
    <w:rsid w:val="003D17A4"/>
    <w:rsid w:val="004225ED"/>
    <w:rsid w:val="0043744F"/>
    <w:rsid w:val="004511B0"/>
    <w:rsid w:val="004950B1"/>
    <w:rsid w:val="004D22C6"/>
    <w:rsid w:val="004F3473"/>
    <w:rsid w:val="004F7AFE"/>
    <w:rsid w:val="0050103B"/>
    <w:rsid w:val="00540E0E"/>
    <w:rsid w:val="005545A6"/>
    <w:rsid w:val="005B588C"/>
    <w:rsid w:val="005C527D"/>
    <w:rsid w:val="006342DB"/>
    <w:rsid w:val="0063655C"/>
    <w:rsid w:val="00687AE7"/>
    <w:rsid w:val="006A2605"/>
    <w:rsid w:val="006C6295"/>
    <w:rsid w:val="006F5B9D"/>
    <w:rsid w:val="007109A9"/>
    <w:rsid w:val="00742FC2"/>
    <w:rsid w:val="00744ABE"/>
    <w:rsid w:val="00766CA5"/>
    <w:rsid w:val="00771F30"/>
    <w:rsid w:val="00796365"/>
    <w:rsid w:val="0080308C"/>
    <w:rsid w:val="008075B4"/>
    <w:rsid w:val="00874E15"/>
    <w:rsid w:val="00877F4C"/>
    <w:rsid w:val="008C248D"/>
    <w:rsid w:val="008E7AF8"/>
    <w:rsid w:val="0091670D"/>
    <w:rsid w:val="0095466D"/>
    <w:rsid w:val="00A629DA"/>
    <w:rsid w:val="00A767E0"/>
    <w:rsid w:val="00AA708E"/>
    <w:rsid w:val="00B0319F"/>
    <w:rsid w:val="00B40934"/>
    <w:rsid w:val="00B4375F"/>
    <w:rsid w:val="00B441BF"/>
    <w:rsid w:val="00B91E89"/>
    <w:rsid w:val="00C05175"/>
    <w:rsid w:val="00C221FC"/>
    <w:rsid w:val="00C26414"/>
    <w:rsid w:val="00C314FE"/>
    <w:rsid w:val="00C55B83"/>
    <w:rsid w:val="00C9546C"/>
    <w:rsid w:val="00C97733"/>
    <w:rsid w:val="00CB0D84"/>
    <w:rsid w:val="00CC1D68"/>
    <w:rsid w:val="00CE2857"/>
    <w:rsid w:val="00D02A19"/>
    <w:rsid w:val="00D12BCB"/>
    <w:rsid w:val="00D20B2C"/>
    <w:rsid w:val="00D543C4"/>
    <w:rsid w:val="00D75BBE"/>
    <w:rsid w:val="00E04920"/>
    <w:rsid w:val="00E34DE3"/>
    <w:rsid w:val="00EA358B"/>
    <w:rsid w:val="00EA4D43"/>
    <w:rsid w:val="00EC6646"/>
    <w:rsid w:val="00EF4D21"/>
    <w:rsid w:val="00F007FC"/>
    <w:rsid w:val="00F12A25"/>
    <w:rsid w:val="00F30543"/>
    <w:rsid w:val="00F337CF"/>
    <w:rsid w:val="00F444DA"/>
    <w:rsid w:val="00F70441"/>
    <w:rsid w:val="00F90125"/>
    <w:rsid w:val="00FC6D33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2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28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28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46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6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2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2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28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28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46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692</Words>
  <Characters>3946</Characters>
  <Application>Microsoft Office Word</Application>
  <DocSecurity>0</DocSecurity>
  <Lines>32</Lines>
  <Paragraphs>9</Paragraphs>
  <ScaleCrop>false</ScaleCrop>
  <Company>浙江省监狱中心医院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2018-05-25T07:41:00Z</cp:lastPrinted>
  <dcterms:created xsi:type="dcterms:W3CDTF">2018-05-31T00:45:00Z</dcterms:created>
  <dcterms:modified xsi:type="dcterms:W3CDTF">2018-05-31T00:55:00Z</dcterms:modified>
</cp:coreProperties>
</file>